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3AD81">
      <w:pPr>
        <w:spacing w:line="300" w:lineRule="auto"/>
        <w:rPr>
          <w:rFonts w:hint="eastAsia" w:ascii="Times New Roman" w:hAnsi="Times New Roman" w:eastAsia="黑体"/>
          <w:sz w:val="36"/>
          <w:szCs w:val="36"/>
          <w:highlight w:val="lightGray"/>
          <w:lang w:val="en-US" w:eastAsia="zh-CN"/>
        </w:rPr>
      </w:pPr>
    </w:p>
    <w:p w14:paraId="08974279">
      <w:pPr>
        <w:spacing w:before="312" w:beforeLines="100" w:after="312" w:afterLines="100"/>
        <w:jc w:val="center"/>
        <w:rPr>
          <w:rFonts w:ascii="Times New Roman" w:hAnsi="Times New Roman" w:eastAsia="方正小标宋简体"/>
          <w:sz w:val="36"/>
          <w:szCs w:val="36"/>
          <w:highlight w:val="lightGray"/>
        </w:rPr>
      </w:pPr>
      <w:r>
        <w:rPr>
          <w:rFonts w:ascii="Times New Roman" w:hAnsi="Times New Roman" w:eastAsia="方正小标宋简体"/>
          <w:sz w:val="36"/>
          <w:szCs w:val="36"/>
          <w:highlight w:val="lightGray"/>
        </w:rPr>
        <w:t>地方标准《</w:t>
      </w:r>
      <w:r>
        <w:rPr>
          <w:rFonts w:hint="eastAsia" w:ascii="Times New Roman" w:hAnsi="Times New Roman" w:eastAsia="方正小标宋简体"/>
          <w:sz w:val="36"/>
          <w:szCs w:val="36"/>
          <w:highlight w:val="lightGray"/>
        </w:rPr>
        <w:t>骨质疏松高风险人群中医健康管理指南</w:t>
      </w:r>
      <w:r>
        <w:rPr>
          <w:rFonts w:ascii="Times New Roman" w:hAnsi="Times New Roman" w:eastAsia="方正小标宋简体"/>
          <w:sz w:val="36"/>
          <w:szCs w:val="36"/>
          <w:highlight w:val="lightGray"/>
        </w:rPr>
        <w:t>》编制说明</w:t>
      </w:r>
    </w:p>
    <w:p w14:paraId="689C603E">
      <w:pPr>
        <w:spacing w:before="312" w:beforeLines="100" w:after="312" w:afterLines="100"/>
        <w:jc w:val="center"/>
        <w:rPr>
          <w:rFonts w:ascii="楷体_GB2312" w:hAnsi="Times New Roman" w:eastAsia="楷体_GB2312"/>
          <w:sz w:val="28"/>
          <w:szCs w:val="28"/>
          <w:highlight w:val="lightGray"/>
        </w:rPr>
      </w:pPr>
      <w:r>
        <w:rPr>
          <w:rFonts w:hint="eastAsia" w:ascii="楷体_GB2312" w:hAnsi="Times New Roman" w:eastAsia="楷体_GB2312"/>
          <w:sz w:val="28"/>
          <w:szCs w:val="28"/>
          <w:highlight w:val="lightGray"/>
        </w:rPr>
        <w:t>（20</w:t>
      </w:r>
      <w:r>
        <w:rPr>
          <w:rFonts w:hint="eastAsia" w:ascii="楷体_GB2312" w:hAnsi="Times New Roman" w:eastAsia="楷体_GB2312"/>
          <w:sz w:val="28"/>
          <w:szCs w:val="28"/>
          <w:highlight w:val="lightGray"/>
          <w:lang w:val="en-US" w:eastAsia="zh-CN"/>
        </w:rPr>
        <w:t>25</w:t>
      </w:r>
      <w:r>
        <w:rPr>
          <w:rFonts w:hint="eastAsia" w:ascii="楷体_GB2312" w:hAnsi="Times New Roman" w:eastAsia="楷体_GB2312"/>
          <w:sz w:val="28"/>
          <w:szCs w:val="28"/>
          <w:highlight w:val="lightGray"/>
        </w:rPr>
        <w:t>年</w:t>
      </w:r>
      <w:r>
        <w:rPr>
          <w:rFonts w:hint="eastAsia" w:ascii="楷体_GB2312" w:hAnsi="Times New Roman" w:eastAsia="楷体_GB2312"/>
          <w:sz w:val="28"/>
          <w:szCs w:val="28"/>
          <w:highlight w:val="lightGray"/>
          <w:lang w:val="en-US" w:eastAsia="zh-CN"/>
        </w:rPr>
        <w:t>3</w:t>
      </w:r>
      <w:r>
        <w:rPr>
          <w:rFonts w:hint="eastAsia" w:ascii="楷体_GB2312" w:hAnsi="Times New Roman" w:eastAsia="楷体_GB2312"/>
          <w:sz w:val="28"/>
          <w:szCs w:val="28"/>
          <w:highlight w:val="lightGray"/>
        </w:rPr>
        <w:t>月）</w:t>
      </w:r>
    </w:p>
    <w:p w14:paraId="15147A3E">
      <w:pPr>
        <w:spacing w:before="156" w:beforeLines="50" w:after="156" w:afterLines="50"/>
        <w:rPr>
          <w:rFonts w:ascii="黑体" w:hAnsi="黑体" w:eastAsia="黑体"/>
          <w:sz w:val="28"/>
          <w:szCs w:val="28"/>
          <w:highlight w:val="lightGray"/>
        </w:rPr>
      </w:pPr>
      <w:r>
        <w:rPr>
          <w:rFonts w:ascii="黑体" w:hAnsi="黑体" w:eastAsia="黑体"/>
          <w:sz w:val="28"/>
          <w:szCs w:val="28"/>
          <w:highlight w:val="lightGray"/>
        </w:rPr>
        <w:t>一、工作简况</w:t>
      </w:r>
    </w:p>
    <w:p w14:paraId="51D2C7D1">
      <w:pPr>
        <w:rPr>
          <w:rFonts w:hint="eastAsia" w:ascii="宋体" w:hAnsi="宋体" w:eastAsia="宋体" w:cs="宋体"/>
          <w:sz w:val="28"/>
          <w:szCs w:val="28"/>
          <w:highlight w:val="lightGray"/>
        </w:rPr>
      </w:pPr>
      <w:r>
        <w:rPr>
          <w:rFonts w:hint="eastAsia" w:ascii="Times New Roman" w:hAnsi="Times New Roman"/>
          <w:sz w:val="28"/>
          <w:szCs w:val="28"/>
          <w:highlight w:val="lightGray"/>
        </w:rPr>
        <w:t>1、</w:t>
      </w:r>
      <w:r>
        <w:rPr>
          <w:rFonts w:hint="eastAsia" w:ascii="宋体" w:hAnsi="宋体" w:eastAsia="宋体" w:cs="宋体"/>
          <w:sz w:val="28"/>
          <w:szCs w:val="28"/>
          <w:highlight w:val="lightGray"/>
        </w:rPr>
        <w:t>任务来源</w:t>
      </w:r>
    </w:p>
    <w:p w14:paraId="77502C96">
      <w:pPr>
        <w:ind w:firstLine="560" w:firstLineChars="200"/>
        <w:rPr>
          <w:rFonts w:hint="eastAsia" w:ascii="宋体" w:hAnsi="宋体" w:eastAsia="宋体" w:cs="宋体"/>
          <w:sz w:val="28"/>
          <w:szCs w:val="28"/>
          <w:highlight w:val="lightGray"/>
        </w:rPr>
      </w:pPr>
      <w:r>
        <w:rPr>
          <w:rFonts w:hint="eastAsia" w:ascii="宋体" w:hAnsi="宋体" w:eastAsia="宋体" w:cs="宋体"/>
          <w:sz w:val="28"/>
          <w:szCs w:val="28"/>
          <w:highlight w:val="lightGray"/>
        </w:rPr>
        <w:t>本地方标准制修订项目来源于广东省市场监督管理局发布《广东省地方标准广东省市场监督管理局关于批准下达2023年第二批广东省地方标准制修订计划的通知》</w:t>
      </w:r>
      <w:r>
        <w:rPr>
          <w:rFonts w:hint="eastAsia" w:ascii="宋体" w:hAnsi="宋体" w:eastAsia="宋体" w:cs="宋体"/>
          <w:sz w:val="28"/>
          <w:szCs w:val="28"/>
          <w:highlight w:val="lightGray"/>
          <w:lang w:eastAsia="zh-CN"/>
        </w:rPr>
        <w:t>（粤市监标准〔2023〕591 号）等有关文件</w:t>
      </w:r>
      <w:r>
        <w:rPr>
          <w:rFonts w:hint="eastAsia" w:ascii="宋体" w:hAnsi="宋体" w:eastAsia="宋体" w:cs="宋体"/>
          <w:sz w:val="28"/>
          <w:szCs w:val="28"/>
          <w:highlight w:val="lightGray"/>
        </w:rPr>
        <w:t>。</w:t>
      </w:r>
    </w:p>
    <w:p w14:paraId="6600EC72">
      <w:pPr>
        <w:rPr>
          <w:rFonts w:ascii="Times New Roman" w:hAnsi="Times New Roman"/>
          <w:sz w:val="28"/>
          <w:szCs w:val="28"/>
          <w:highlight w:val="lightGray"/>
        </w:rPr>
      </w:pPr>
      <w:r>
        <w:rPr>
          <w:rFonts w:ascii="Times New Roman" w:hAnsi="Times New Roman"/>
          <w:sz w:val="28"/>
          <w:szCs w:val="28"/>
          <w:highlight w:val="lightGray"/>
        </w:rPr>
        <w:t>2</w:t>
      </w:r>
      <w:r>
        <w:rPr>
          <w:rFonts w:hint="eastAsia" w:ascii="Times New Roman" w:hAnsi="Times New Roman"/>
          <w:sz w:val="28"/>
          <w:szCs w:val="28"/>
          <w:highlight w:val="lightGray"/>
        </w:rPr>
        <w:t>、背景与意义</w:t>
      </w:r>
    </w:p>
    <w:p w14:paraId="1173B3BF">
      <w:pPr>
        <w:rPr>
          <w:rFonts w:hint="eastAsia" w:ascii="Times New Roman"/>
          <w:sz w:val="28"/>
          <w:szCs w:val="28"/>
        </w:rPr>
      </w:pPr>
      <w:r>
        <w:rPr>
          <w:rFonts w:hint="eastAsia" w:ascii="Times New Roman"/>
          <w:sz w:val="28"/>
          <w:szCs w:val="28"/>
        </w:rPr>
        <w:t>2.1 编制背景</w:t>
      </w:r>
    </w:p>
    <w:p w14:paraId="6A51D3A8">
      <w:pPr>
        <w:ind w:firstLine="560" w:firstLineChars="200"/>
        <w:rPr>
          <w:rFonts w:hint="eastAsia" w:ascii="Times New Roman"/>
          <w:sz w:val="28"/>
          <w:szCs w:val="28"/>
        </w:rPr>
      </w:pPr>
      <w:r>
        <w:rPr>
          <w:rFonts w:hint="eastAsia" w:ascii="Times New Roman"/>
          <w:sz w:val="28"/>
          <w:szCs w:val="28"/>
        </w:rPr>
        <w:t>骨质疏松（osteoporosis，OP）是一种以骨量减少、骨微结构破坏、骨骼脆性增加和易发生骨折为特征的代谢性骨病。针对中国的最新骨质疏松流行病学数据显示，中老年人群中患病率较高，且存在显著的性别和年龄差异。根据研究数据，中国中年和老年人群中骨质疏松的年龄标准化患病率为33.49%，其中男性为20.73%，女性为38.05%。女性患病率显著高于男性，且在绝经后急剧上升，85岁以上女性患病率可达95.65%。男性患病率也随年龄增长，但整体低于女性，85岁以上男性患病率为18.65%。此外，骨质疏松患病率在不同地区存在差异，东北和西南地区患病率较高。总体而言，骨质疏松在中国是重要的公共健康问题，尤其需要关注女性和老年人群体。骨质疏松不仅导致疼痛和活动受限，更因高骨折风险，尤其是髋部骨折，严重影响患者生活质量并显著增加死亡风险。骨质疏松可防、可治，因此加强人群早期筛检与识别非常重要。</w:t>
      </w:r>
    </w:p>
    <w:p w14:paraId="1061C9AA">
      <w:pPr>
        <w:ind w:firstLine="560" w:firstLineChars="200"/>
        <w:rPr>
          <w:rFonts w:hint="eastAsia" w:ascii="Times New Roman"/>
          <w:sz w:val="28"/>
          <w:szCs w:val="28"/>
        </w:rPr>
      </w:pPr>
      <w:r>
        <w:rPr>
          <w:rFonts w:hint="eastAsia" w:ascii="Times New Roman"/>
          <w:sz w:val="28"/>
          <w:szCs w:val="28"/>
        </w:rPr>
        <w:t>中医健康管理立足于中医的“治未病”及“养生”理念，强调“未病先防</w:t>
      </w:r>
      <w:r>
        <w:rPr>
          <w:rFonts w:hint="eastAsia" w:ascii="Times New Roman"/>
          <w:sz w:val="28"/>
          <w:szCs w:val="28"/>
          <w:lang w:eastAsia="zh-CN"/>
        </w:rPr>
        <w:t>，</w:t>
      </w:r>
      <w:r>
        <w:rPr>
          <w:rFonts w:hint="eastAsia" w:ascii="Times New Roman"/>
          <w:sz w:val="28"/>
          <w:szCs w:val="28"/>
        </w:rPr>
        <w:t>既病防变</w:t>
      </w:r>
      <w:r>
        <w:rPr>
          <w:rFonts w:hint="eastAsia" w:ascii="Times New Roman"/>
          <w:sz w:val="28"/>
          <w:szCs w:val="28"/>
          <w:lang w:eastAsia="zh-CN"/>
        </w:rPr>
        <w:t>，</w:t>
      </w:r>
      <w:r>
        <w:rPr>
          <w:rFonts w:hint="eastAsia" w:ascii="Times New Roman"/>
          <w:sz w:val="28"/>
          <w:szCs w:val="28"/>
        </w:rPr>
        <w:t>瘥后防复”，在疾病的预防、医疗、保健等方面都具有独特的价值。将中医健康管理应用于</w:t>
      </w:r>
      <w:r>
        <w:rPr>
          <w:rFonts w:hint="eastAsia" w:ascii="Times New Roman"/>
          <w:sz w:val="28"/>
          <w:szCs w:val="28"/>
          <w:lang w:val="en-US" w:eastAsia="zh-CN"/>
        </w:rPr>
        <w:t>骨质疏松高风险人群</w:t>
      </w:r>
      <w:r>
        <w:rPr>
          <w:rFonts w:hint="eastAsia" w:ascii="Times New Roman"/>
          <w:sz w:val="28"/>
          <w:szCs w:val="28"/>
        </w:rPr>
        <w:t>的疾病管理，有助于提高患者对疾病的认识、提高患者的依从性、改善患者的临床症状。</w:t>
      </w:r>
    </w:p>
    <w:p w14:paraId="4DCB6E3F">
      <w:pPr>
        <w:ind w:firstLine="560" w:firstLineChars="200"/>
        <w:rPr>
          <w:rFonts w:hint="eastAsia" w:ascii="Times New Roman"/>
          <w:sz w:val="28"/>
          <w:szCs w:val="28"/>
        </w:rPr>
      </w:pPr>
      <w:r>
        <w:rPr>
          <w:rFonts w:hint="eastAsia" w:ascii="Times New Roman"/>
          <w:sz w:val="28"/>
          <w:szCs w:val="28"/>
        </w:rPr>
        <w:t>既往研究中，尚未发现骨质疏松高风险人群中医健康管理指南相关文献报告；本项目基于前期研究成果，开展对骨质疏松高风险人群中医健康管理指南研究工作，以制定出科学规范、临床实用、操作性强的《骨质疏松高风险人群中医健康管理指南》，在行业内发布并推广应用。本次研究是对既往研究的进一步深化和补充，在研究中重视对骨质疏松高风险人群中医“治未病”干预技术方面进行探讨，有助于进一步深化研究，在研究方法和成果上有所创新。</w:t>
      </w:r>
    </w:p>
    <w:p w14:paraId="01D0352E">
      <w:pPr>
        <w:rPr>
          <w:rFonts w:hint="eastAsia" w:ascii="Times New Roman"/>
          <w:sz w:val="28"/>
          <w:szCs w:val="28"/>
        </w:rPr>
      </w:pPr>
      <w:r>
        <w:rPr>
          <w:rFonts w:hint="eastAsia" w:ascii="Times New Roman"/>
          <w:sz w:val="28"/>
          <w:szCs w:val="28"/>
        </w:rPr>
        <w:t>2.2 编制意义</w:t>
      </w:r>
    </w:p>
    <w:p w14:paraId="0694D431">
      <w:pPr>
        <w:ind w:firstLine="560" w:firstLineChars="200"/>
        <w:rPr>
          <w:rFonts w:hint="eastAsia" w:ascii="Times New Roman"/>
          <w:sz w:val="28"/>
          <w:szCs w:val="28"/>
        </w:rPr>
      </w:pPr>
      <w:r>
        <w:rPr>
          <w:rFonts w:hint="eastAsia" w:ascii="Times New Roman"/>
          <w:sz w:val="28"/>
          <w:szCs w:val="28"/>
        </w:rPr>
        <w:t>中医健康管理可贯穿于</w:t>
      </w:r>
      <w:r>
        <w:rPr>
          <w:rFonts w:hint="eastAsia" w:ascii="Times New Roman"/>
          <w:sz w:val="28"/>
          <w:szCs w:val="28"/>
          <w:lang w:val="en-US" w:eastAsia="zh-CN"/>
        </w:rPr>
        <w:t>骨质疏松高风险人群</w:t>
      </w:r>
      <w:r>
        <w:rPr>
          <w:rFonts w:hint="eastAsia" w:ascii="Times New Roman"/>
          <w:sz w:val="28"/>
          <w:szCs w:val="28"/>
        </w:rPr>
        <w:t>防治全过程。但健康管理行业门槛较低、专业素质不高、人员流动性大，缺乏针对</w:t>
      </w:r>
      <w:r>
        <w:rPr>
          <w:rFonts w:hint="eastAsia" w:ascii="Times New Roman"/>
          <w:sz w:val="28"/>
          <w:szCs w:val="28"/>
          <w:lang w:val="en-US" w:eastAsia="zh-CN"/>
        </w:rPr>
        <w:t>骨质疏松高风险人群</w:t>
      </w:r>
      <w:r>
        <w:rPr>
          <w:rFonts w:hint="eastAsia" w:ascii="Times New Roman"/>
          <w:sz w:val="28"/>
          <w:szCs w:val="28"/>
        </w:rPr>
        <w:t>中医健康管理的专业性、标准化的指导管理文件</w:t>
      </w:r>
      <w:r>
        <w:rPr>
          <w:rFonts w:hint="eastAsia" w:ascii="Times New Roman"/>
          <w:sz w:val="28"/>
          <w:szCs w:val="28"/>
          <w:lang w:eastAsia="zh-CN"/>
        </w:rPr>
        <w:t>。本指南标准在系统总结前期研究成果的基础上，广泛征询临床专家的专业意见和建议，形成《骨质疏松高风险人群中医健康管理指南》；从骨质疏松高风险人群的定义、骨质疏松高危因素、骨质疏松高风险人群筛查、干预、随访和监测等关键性问题进行规范，将筛查的关口从骨质疏松前移到骨量减少阶段，从而对骨质疏松高风险人群进行有效辨识，为在“未病”阶段展开针对性的干预提供依据，对骨质疏松临床风险识别以及过程管理具有非常重要的指导意义。</w:t>
      </w:r>
    </w:p>
    <w:p w14:paraId="0A86068D">
      <w:pPr>
        <w:rPr>
          <w:rFonts w:hint="eastAsia" w:ascii="Times New Roman" w:hAnsi="Times New Roman"/>
          <w:sz w:val="28"/>
          <w:szCs w:val="28"/>
        </w:rPr>
      </w:pPr>
      <w:r>
        <w:rPr>
          <w:rFonts w:ascii="Times New Roman" w:hAnsi="Times New Roman"/>
          <w:sz w:val="28"/>
          <w:szCs w:val="28"/>
        </w:rPr>
        <w:t>3</w:t>
      </w:r>
      <w:r>
        <w:rPr>
          <w:rFonts w:hint="eastAsia" w:ascii="Times New Roman" w:hAnsi="Times New Roman"/>
          <w:sz w:val="28"/>
          <w:szCs w:val="28"/>
        </w:rPr>
        <w:t>、工作过程概况</w:t>
      </w:r>
    </w:p>
    <w:p w14:paraId="09E1634C">
      <w:pPr>
        <w:ind w:firstLine="560" w:firstLineChars="200"/>
        <w:rPr>
          <w:rFonts w:hint="eastAsia" w:ascii="Times New Roman"/>
          <w:sz w:val="28"/>
          <w:szCs w:val="28"/>
        </w:rPr>
      </w:pPr>
      <w:r>
        <w:rPr>
          <w:rFonts w:hint="eastAsia" w:ascii="Times New Roman"/>
          <w:sz w:val="28"/>
          <w:szCs w:val="28"/>
        </w:rPr>
        <w:t>本项目由广东省中医药局提出。广东省中医院</w:t>
      </w:r>
      <w:r>
        <w:rPr>
          <w:rFonts w:hint="eastAsia" w:ascii="Times New Roman"/>
          <w:sz w:val="28"/>
          <w:szCs w:val="28"/>
          <w:lang w:eastAsia="zh-CN"/>
        </w:rPr>
        <w:t>（</w:t>
      </w:r>
      <w:r>
        <w:rPr>
          <w:rFonts w:hint="eastAsia" w:ascii="Times New Roman"/>
          <w:sz w:val="28"/>
          <w:szCs w:val="28"/>
          <w:lang w:val="en-US" w:eastAsia="zh-CN"/>
        </w:rPr>
        <w:t>广州中医药大学第二附属医院</w:t>
      </w:r>
      <w:r>
        <w:rPr>
          <w:rFonts w:hint="eastAsia" w:ascii="Times New Roman"/>
          <w:sz w:val="28"/>
          <w:szCs w:val="28"/>
          <w:lang w:eastAsia="zh-CN"/>
        </w:rPr>
        <w:t>）</w:t>
      </w:r>
      <w:r>
        <w:rPr>
          <w:rFonts w:hint="eastAsia" w:ascii="Times New Roman"/>
          <w:sz w:val="28"/>
          <w:szCs w:val="28"/>
        </w:rPr>
        <w:t>是本项目的主导单位</w:t>
      </w:r>
      <w:r>
        <w:rPr>
          <w:rFonts w:hint="eastAsia" w:ascii="Times New Roman"/>
          <w:sz w:val="28"/>
          <w:szCs w:val="28"/>
          <w:lang w:eastAsia="zh-CN"/>
        </w:rPr>
        <w:t>，</w:t>
      </w:r>
      <w:r>
        <w:rPr>
          <w:rFonts w:hint="eastAsia" w:ascii="Times New Roman"/>
          <w:sz w:val="28"/>
          <w:szCs w:val="28"/>
        </w:rPr>
        <w:t>主要负责组织成立标准起草组，按计划完成标准起草工作；落实标准起草经费，提供必要的工作保障；完成标准的征求意见、送审和报批等工作。</w:t>
      </w:r>
    </w:p>
    <w:p w14:paraId="3F9BDE09">
      <w:pPr>
        <w:spacing w:before="156" w:beforeLines="50" w:after="156" w:afterLines="50"/>
        <w:rPr>
          <w:rFonts w:ascii="黑体" w:hAnsi="黑体" w:eastAsia="黑体"/>
          <w:sz w:val="28"/>
          <w:szCs w:val="28"/>
        </w:rPr>
      </w:pPr>
      <w:r>
        <w:rPr>
          <w:rFonts w:ascii="黑体" w:hAnsi="黑体" w:eastAsia="黑体"/>
          <w:sz w:val="28"/>
          <w:szCs w:val="28"/>
        </w:rPr>
        <w:t>二、标准编制原则</w:t>
      </w:r>
    </w:p>
    <w:p w14:paraId="31FDFD29">
      <w:pPr>
        <w:spacing w:before="156" w:beforeLines="50" w:after="156" w:afterLines="50"/>
        <w:ind w:firstLine="560" w:firstLineChars="200"/>
        <w:rPr>
          <w:rFonts w:hint="eastAsia" w:ascii="宋体" w:hAnsi="宋体"/>
          <w:sz w:val="28"/>
          <w:szCs w:val="28"/>
        </w:rPr>
      </w:pPr>
      <w:r>
        <w:rPr>
          <w:rFonts w:hint="eastAsia" w:ascii="宋体" w:hAnsi="宋体"/>
          <w:sz w:val="28"/>
          <w:szCs w:val="28"/>
        </w:rPr>
        <w:t>标准编制</w:t>
      </w:r>
      <w:r>
        <w:rPr>
          <w:rFonts w:hint="eastAsia" w:ascii="宋体" w:hAnsi="宋体"/>
          <w:sz w:val="28"/>
          <w:szCs w:val="28"/>
          <w:lang w:val="en-US" w:eastAsia="zh-CN"/>
        </w:rPr>
        <w:t>过程</w:t>
      </w:r>
      <w:r>
        <w:rPr>
          <w:rFonts w:hint="eastAsia" w:ascii="宋体" w:hAnsi="宋体"/>
          <w:sz w:val="28"/>
          <w:szCs w:val="28"/>
        </w:rPr>
        <w:t>主要遵循现行相关法律法规的规定，与相关国家标准、行业标准、地方标准相兼容。整个起草过程严格按照工作计划进行，并遵循“科学性、合理性、先进性、实用性、普遍性”原则</w:t>
      </w:r>
      <w:r>
        <w:rPr>
          <w:rFonts w:hint="eastAsia" w:ascii="宋体" w:hAnsi="宋体"/>
          <w:sz w:val="28"/>
          <w:szCs w:val="28"/>
          <w:lang w:eastAsia="zh-CN"/>
        </w:rPr>
        <w:t>，</w:t>
      </w:r>
      <w:r>
        <w:rPr>
          <w:rFonts w:hint="eastAsia" w:ascii="Times New Roman"/>
          <w:sz w:val="28"/>
          <w:szCs w:val="28"/>
          <w:lang w:eastAsia="zh-CN"/>
        </w:rPr>
        <w:t>从骨质疏松高风险人群的定义、骨质疏松高危因素、骨质疏松高风险人群筛查、干预、随访和监测等</w:t>
      </w:r>
      <w:r>
        <w:rPr>
          <w:rFonts w:hint="eastAsia" w:ascii="宋体" w:hAnsi="宋体"/>
          <w:sz w:val="28"/>
          <w:szCs w:val="28"/>
        </w:rPr>
        <w:t>等内容进行规范化推荐与建议</w:t>
      </w:r>
      <w:r>
        <w:rPr>
          <w:rFonts w:hint="eastAsia" w:ascii="宋体" w:hAnsi="宋体"/>
          <w:sz w:val="28"/>
          <w:szCs w:val="28"/>
          <w:lang w:eastAsia="zh-CN"/>
        </w:rPr>
        <w:t>。</w:t>
      </w:r>
    </w:p>
    <w:p w14:paraId="43C66EE5">
      <w:pPr>
        <w:spacing w:before="156" w:beforeLines="50" w:after="156" w:afterLines="50"/>
        <w:rPr>
          <w:rFonts w:hint="eastAsia" w:ascii="黑体" w:hAnsi="黑体" w:eastAsia="黑体"/>
          <w:sz w:val="28"/>
          <w:szCs w:val="28"/>
        </w:rPr>
      </w:pPr>
      <w:r>
        <w:rPr>
          <w:rFonts w:hint="eastAsia" w:ascii="黑体" w:hAnsi="黑体" w:eastAsia="黑体"/>
          <w:sz w:val="28"/>
          <w:szCs w:val="28"/>
        </w:rPr>
        <w:t>三、</w:t>
      </w:r>
      <w:r>
        <w:rPr>
          <w:rFonts w:ascii="黑体" w:hAnsi="黑体" w:eastAsia="黑体"/>
          <w:sz w:val="28"/>
          <w:szCs w:val="28"/>
        </w:rPr>
        <w:t>标准框架、主要内容及其确定依据</w:t>
      </w:r>
    </w:p>
    <w:p w14:paraId="1B776C39">
      <w:pPr>
        <w:spacing w:after="156" w:afterLines="50"/>
        <w:ind w:firstLine="560" w:firstLineChars="200"/>
        <w:rPr>
          <w:rFonts w:ascii="宋体" w:hAnsi="宋体"/>
          <w:sz w:val="28"/>
          <w:szCs w:val="28"/>
        </w:rPr>
      </w:pPr>
      <w:r>
        <w:rPr>
          <w:rFonts w:hint="eastAsia" w:ascii="宋体" w:hAnsi="宋体"/>
          <w:sz w:val="28"/>
          <w:szCs w:val="28"/>
          <w:lang w:val="en-US" w:eastAsia="zh-CN"/>
        </w:rPr>
        <w:t>本</w:t>
      </w:r>
      <w:r>
        <w:rPr>
          <w:rFonts w:hint="eastAsia" w:ascii="宋体" w:hAnsi="宋体"/>
          <w:sz w:val="28"/>
          <w:szCs w:val="28"/>
        </w:rPr>
        <w:t>标准主要技术内容</w:t>
      </w:r>
      <w:r>
        <w:rPr>
          <w:rFonts w:hint="eastAsia" w:ascii="宋体" w:hAnsi="宋体"/>
          <w:sz w:val="28"/>
          <w:szCs w:val="28"/>
          <w:lang w:eastAsia="zh-CN"/>
        </w:rPr>
        <w:t>，</w:t>
      </w:r>
      <w:r>
        <w:rPr>
          <w:rFonts w:hint="eastAsia" w:ascii="宋体" w:hAnsi="宋体"/>
          <w:sz w:val="28"/>
          <w:szCs w:val="28"/>
        </w:rPr>
        <w:t>见表1。</w:t>
      </w:r>
    </w:p>
    <w:p w14:paraId="70314235">
      <w:pPr>
        <w:spacing w:after="156" w:afterLines="50"/>
        <w:jc w:val="center"/>
        <w:rPr>
          <w:rFonts w:hint="eastAsia" w:ascii="宋体" w:hAnsi="宋体" w:eastAsia="宋体"/>
          <w:sz w:val="28"/>
          <w:szCs w:val="28"/>
        </w:rPr>
      </w:pPr>
      <w:r>
        <w:rPr>
          <w:rFonts w:hint="eastAsia" w:ascii="宋体" w:hAnsi="宋体" w:eastAsia="宋体"/>
          <w:sz w:val="28"/>
          <w:szCs w:val="28"/>
        </w:rPr>
        <w:t>表1 标准主要技术内容</w:t>
      </w:r>
    </w:p>
    <w:tbl>
      <w:tblPr>
        <w:tblStyle w:val="6"/>
        <w:tblW w:w="488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1"/>
        <w:gridCol w:w="6807"/>
      </w:tblGrid>
      <w:tr w14:paraId="5845D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vAlign w:val="center"/>
          </w:tcPr>
          <w:p w14:paraId="449C96BE">
            <w:pPr>
              <w:spacing w:line="360" w:lineRule="auto"/>
              <w:jc w:val="center"/>
              <w:rPr>
                <w:rFonts w:ascii="Times New Roman" w:hAnsi="Times New Roman" w:eastAsia="黑体"/>
                <w:sz w:val="24"/>
                <w:szCs w:val="24"/>
              </w:rPr>
            </w:pPr>
            <w:r>
              <w:rPr>
                <w:rFonts w:hint="eastAsia" w:ascii="Times New Roman" w:hAnsi="Times New Roman" w:eastAsia="黑体"/>
                <w:sz w:val="24"/>
                <w:szCs w:val="24"/>
              </w:rPr>
              <w:t>章条编号</w:t>
            </w:r>
          </w:p>
        </w:tc>
        <w:tc>
          <w:tcPr>
            <w:tcW w:w="4086" w:type="pct"/>
            <w:vAlign w:val="center"/>
          </w:tcPr>
          <w:p w14:paraId="76580AEC">
            <w:pPr>
              <w:spacing w:line="360" w:lineRule="auto"/>
              <w:jc w:val="center"/>
              <w:rPr>
                <w:rFonts w:ascii="Times New Roman" w:hAnsi="Times New Roman" w:eastAsia="黑体"/>
                <w:sz w:val="24"/>
                <w:szCs w:val="24"/>
              </w:rPr>
            </w:pPr>
            <w:r>
              <w:rPr>
                <w:rFonts w:hint="eastAsia" w:ascii="Times New Roman" w:hAnsi="Times New Roman" w:eastAsia="黑体"/>
                <w:sz w:val="24"/>
                <w:szCs w:val="24"/>
              </w:rPr>
              <w:t>标题</w:t>
            </w:r>
          </w:p>
        </w:tc>
      </w:tr>
      <w:tr w14:paraId="6736A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4F81F7FB">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c>
          <w:tcPr>
            <w:tcW w:w="4086" w:type="pct"/>
            <w:shd w:val="clear" w:color="auto" w:fill="auto"/>
            <w:vAlign w:val="bottom"/>
          </w:tcPr>
          <w:p w14:paraId="05202BC8">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范围</w:t>
            </w:r>
          </w:p>
        </w:tc>
      </w:tr>
      <w:tr w14:paraId="6BB06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398635AA">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w:t>
            </w:r>
          </w:p>
        </w:tc>
        <w:tc>
          <w:tcPr>
            <w:tcW w:w="4086" w:type="pct"/>
            <w:shd w:val="clear" w:color="auto" w:fill="auto"/>
            <w:vAlign w:val="bottom"/>
          </w:tcPr>
          <w:p w14:paraId="4B782321">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规范性引用文件</w:t>
            </w:r>
          </w:p>
        </w:tc>
      </w:tr>
      <w:tr w14:paraId="3216C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7F4850AC">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3</w:t>
            </w:r>
          </w:p>
        </w:tc>
        <w:tc>
          <w:tcPr>
            <w:tcW w:w="4086" w:type="pct"/>
            <w:shd w:val="clear" w:color="auto" w:fill="auto"/>
            <w:vAlign w:val="bottom"/>
          </w:tcPr>
          <w:p w14:paraId="7BEF37F1">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术语和定义</w:t>
            </w:r>
          </w:p>
        </w:tc>
      </w:tr>
      <w:tr w14:paraId="2C85C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6D530028">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4</w:t>
            </w:r>
          </w:p>
        </w:tc>
        <w:tc>
          <w:tcPr>
            <w:tcW w:w="4086" w:type="pct"/>
            <w:shd w:val="clear" w:color="auto" w:fill="auto"/>
            <w:vAlign w:val="bottom"/>
          </w:tcPr>
          <w:p w14:paraId="7B523697">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骨质疏松流行病学</w:t>
            </w:r>
          </w:p>
        </w:tc>
      </w:tr>
      <w:tr w14:paraId="08D7E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56C9D41F">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5</w:t>
            </w:r>
          </w:p>
        </w:tc>
        <w:tc>
          <w:tcPr>
            <w:tcW w:w="4086" w:type="pct"/>
            <w:shd w:val="clear" w:color="auto" w:fill="auto"/>
            <w:vAlign w:val="bottom"/>
          </w:tcPr>
          <w:p w14:paraId="476EFD5A">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骨质疏松</w:t>
            </w:r>
            <w:r>
              <w:rPr>
                <w:rFonts w:hint="eastAsia" w:ascii="宋体" w:hAnsi="宋体" w:eastAsia="宋体" w:cs="宋体"/>
                <w:sz w:val="24"/>
                <w:szCs w:val="24"/>
                <w:lang w:val="en-US" w:eastAsia="zh-CN"/>
              </w:rPr>
              <w:t>病因病机</w:t>
            </w:r>
          </w:p>
        </w:tc>
      </w:tr>
      <w:tr w14:paraId="17D69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19D4F813">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6</w:t>
            </w:r>
          </w:p>
        </w:tc>
        <w:tc>
          <w:tcPr>
            <w:tcW w:w="4086" w:type="pct"/>
            <w:shd w:val="clear" w:color="auto" w:fill="auto"/>
            <w:vAlign w:val="bottom"/>
          </w:tcPr>
          <w:p w14:paraId="4426C59A">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高骨质疏松</w:t>
            </w:r>
            <w:r>
              <w:rPr>
                <w:rFonts w:hint="eastAsia" w:ascii="宋体" w:hAnsi="宋体" w:eastAsia="宋体" w:cs="宋体"/>
                <w:sz w:val="24"/>
                <w:szCs w:val="24"/>
                <w:lang w:val="en-US" w:eastAsia="zh-Hans"/>
              </w:rPr>
              <w:t>高危</w:t>
            </w:r>
            <w:r>
              <w:rPr>
                <w:rFonts w:hint="eastAsia" w:ascii="宋体" w:hAnsi="宋体" w:eastAsia="宋体" w:cs="宋体"/>
                <w:sz w:val="24"/>
                <w:szCs w:val="24"/>
                <w:lang w:val="en-US" w:eastAsia="zh-CN"/>
              </w:rPr>
              <w:t>因素</w:t>
            </w:r>
          </w:p>
        </w:tc>
      </w:tr>
      <w:tr w14:paraId="43141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14F0DEC6">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7</w:t>
            </w:r>
          </w:p>
        </w:tc>
        <w:tc>
          <w:tcPr>
            <w:tcW w:w="4086" w:type="pct"/>
            <w:shd w:val="clear" w:color="auto" w:fill="auto"/>
            <w:vAlign w:val="bottom"/>
          </w:tcPr>
          <w:p w14:paraId="13D71099">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骨质疏松高风险人群筛查</w:t>
            </w:r>
          </w:p>
        </w:tc>
      </w:tr>
      <w:tr w14:paraId="15088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4403EEFB">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8</w:t>
            </w:r>
          </w:p>
        </w:tc>
        <w:tc>
          <w:tcPr>
            <w:tcW w:w="4086" w:type="pct"/>
            <w:shd w:val="clear" w:color="auto" w:fill="auto"/>
            <w:vAlign w:val="bottom"/>
          </w:tcPr>
          <w:p w14:paraId="7BCD233A">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Hans"/>
              </w:rPr>
              <w:t>骨质疏松</w:t>
            </w:r>
            <w:r>
              <w:rPr>
                <w:rFonts w:hint="eastAsia" w:ascii="宋体" w:hAnsi="宋体" w:eastAsia="宋体" w:cs="宋体"/>
                <w:sz w:val="24"/>
                <w:szCs w:val="24"/>
                <w:lang w:val="en-US" w:eastAsia="zh-Hans"/>
              </w:rPr>
              <w:t>高风险</w:t>
            </w:r>
            <w:r>
              <w:rPr>
                <w:rFonts w:hint="eastAsia" w:ascii="宋体" w:hAnsi="宋体" w:eastAsia="宋体" w:cs="宋体"/>
                <w:sz w:val="24"/>
                <w:szCs w:val="24"/>
                <w:lang w:eastAsia="zh-Hans"/>
              </w:rPr>
              <w:t>人群干预</w:t>
            </w:r>
          </w:p>
        </w:tc>
      </w:tr>
      <w:tr w14:paraId="131F0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 w:type="pct"/>
            <w:shd w:val="clear" w:color="auto" w:fill="auto"/>
            <w:vAlign w:val="bottom"/>
          </w:tcPr>
          <w:p w14:paraId="7BF63426">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4086" w:type="pct"/>
            <w:shd w:val="clear" w:color="auto" w:fill="auto"/>
            <w:vAlign w:val="bottom"/>
          </w:tcPr>
          <w:p w14:paraId="34359F74">
            <w:pPr>
              <w:keepNext w:val="0"/>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eastAsia="zh-Hans"/>
              </w:rPr>
            </w:pPr>
            <w:r>
              <w:rPr>
                <w:rFonts w:hint="eastAsia" w:ascii="宋体" w:hAnsi="宋体" w:eastAsia="宋体" w:cs="宋体"/>
                <w:sz w:val="24"/>
                <w:szCs w:val="24"/>
                <w:lang w:val="en-US" w:eastAsia="zh-CN"/>
              </w:rPr>
              <w:t>随访、监测</w:t>
            </w:r>
          </w:p>
        </w:tc>
      </w:tr>
    </w:tbl>
    <w:p w14:paraId="0B5505C6">
      <w:pPr>
        <w:pStyle w:val="5"/>
        <w:shd w:val="clear" w:color="auto" w:fill="FFFFFF"/>
        <w:spacing w:before="75" w:beforeAutospacing="0" w:after="75" w:afterAutospacing="0"/>
        <w:ind w:firstLine="560" w:firstLineChars="200"/>
        <w:jc w:val="both"/>
        <w:rPr>
          <w:rFonts w:hint="eastAsia" w:eastAsia="宋体"/>
          <w:sz w:val="28"/>
          <w:szCs w:val="28"/>
          <w:lang w:val="en-US" w:eastAsia="zh-CN"/>
        </w:rPr>
      </w:pPr>
      <w:r>
        <w:rPr>
          <w:rFonts w:hint="eastAsia"/>
          <w:sz w:val="28"/>
          <w:szCs w:val="28"/>
        </w:rPr>
        <w:t>标准框架、主要内容的确定</w:t>
      </w:r>
      <w:r>
        <w:rPr>
          <w:rFonts w:hint="eastAsia"/>
          <w:sz w:val="28"/>
          <w:szCs w:val="28"/>
          <w:lang w:eastAsia="zh-CN"/>
        </w:rPr>
        <w:t>，</w:t>
      </w:r>
      <w:r>
        <w:rPr>
          <w:rFonts w:hint="eastAsia"/>
          <w:sz w:val="28"/>
          <w:szCs w:val="28"/>
          <w:lang w:val="en-US" w:eastAsia="zh-CN"/>
        </w:rPr>
        <w:t>主要</w:t>
      </w:r>
      <w:r>
        <w:rPr>
          <w:rFonts w:hint="eastAsia"/>
          <w:sz w:val="28"/>
          <w:szCs w:val="28"/>
        </w:rPr>
        <w:t>依据文献调研、西医专家咨询</w:t>
      </w:r>
      <w:r>
        <w:rPr>
          <w:rFonts w:hint="eastAsia"/>
          <w:sz w:val="28"/>
          <w:szCs w:val="28"/>
          <w:lang w:val="en-US" w:eastAsia="zh-CN"/>
        </w:rPr>
        <w:t>以及</w:t>
      </w:r>
      <w:r>
        <w:rPr>
          <w:rFonts w:hint="eastAsia"/>
          <w:sz w:val="28"/>
          <w:szCs w:val="28"/>
        </w:rPr>
        <w:t>名中医共同研讨</w:t>
      </w:r>
      <w:r>
        <w:rPr>
          <w:rFonts w:hint="eastAsia"/>
          <w:sz w:val="28"/>
          <w:szCs w:val="28"/>
          <w:lang w:val="en-US" w:eastAsia="zh-CN"/>
        </w:rPr>
        <w:t>决定。</w:t>
      </w:r>
    </w:p>
    <w:p w14:paraId="1EE82C23">
      <w:pPr>
        <w:spacing w:before="156" w:beforeLines="50" w:after="156" w:afterLines="50"/>
        <w:rPr>
          <w:rFonts w:ascii="黑体" w:hAnsi="黑体" w:eastAsia="黑体"/>
          <w:sz w:val="28"/>
          <w:szCs w:val="28"/>
        </w:rPr>
      </w:pPr>
      <w:r>
        <w:rPr>
          <w:rFonts w:hint="eastAsia" w:ascii="黑体" w:hAnsi="黑体" w:eastAsia="黑体"/>
          <w:sz w:val="28"/>
          <w:szCs w:val="28"/>
        </w:rPr>
        <w:t>四</w:t>
      </w:r>
      <w:r>
        <w:rPr>
          <w:rFonts w:ascii="黑体" w:hAnsi="黑体" w:eastAsia="黑体"/>
          <w:sz w:val="28"/>
          <w:szCs w:val="28"/>
        </w:rPr>
        <w:t>、标准有何先进性或特色性</w:t>
      </w:r>
    </w:p>
    <w:p w14:paraId="32188B59">
      <w:pPr>
        <w:spacing w:before="156" w:beforeLines="50" w:after="156" w:afterLines="50"/>
        <w:ind w:firstLine="560" w:firstLineChars="200"/>
        <w:rPr>
          <w:rFonts w:hint="eastAsia" w:ascii="Times New Roman"/>
          <w:sz w:val="28"/>
          <w:szCs w:val="28"/>
          <w:lang w:eastAsia="zh-CN"/>
        </w:rPr>
      </w:pPr>
      <w:r>
        <w:rPr>
          <w:rFonts w:hint="eastAsia"/>
          <w:sz w:val="28"/>
          <w:szCs w:val="28"/>
        </w:rPr>
        <w:t>目前，已经发布的标准中尚未涉及对</w:t>
      </w:r>
      <w:r>
        <w:rPr>
          <w:rFonts w:hint="eastAsia" w:ascii="Times New Roman"/>
          <w:sz w:val="28"/>
          <w:szCs w:val="28"/>
          <w:lang w:eastAsia="zh-CN"/>
        </w:rPr>
        <w:t>骨质疏松高风险人群中医健康管理</w:t>
      </w:r>
      <w:r>
        <w:rPr>
          <w:rFonts w:hint="eastAsia"/>
          <w:sz w:val="28"/>
          <w:szCs w:val="28"/>
        </w:rPr>
        <w:t>规范</w:t>
      </w:r>
      <w:r>
        <w:rPr>
          <w:rFonts w:hint="eastAsia"/>
          <w:sz w:val="28"/>
          <w:szCs w:val="28"/>
          <w:lang w:eastAsia="zh-CN"/>
        </w:rPr>
        <w:t>。</w:t>
      </w:r>
      <w:r>
        <w:rPr>
          <w:rFonts w:hint="eastAsia"/>
          <w:sz w:val="28"/>
          <w:szCs w:val="28"/>
        </w:rPr>
        <w:t>本标准对</w:t>
      </w:r>
      <w:r>
        <w:rPr>
          <w:rFonts w:hint="eastAsia" w:ascii="Times New Roman"/>
          <w:sz w:val="28"/>
          <w:szCs w:val="28"/>
          <w:lang w:eastAsia="zh-CN"/>
        </w:rPr>
        <w:t>骨质疏松高风险人群</w:t>
      </w:r>
      <w:r>
        <w:rPr>
          <w:rFonts w:hint="eastAsia"/>
          <w:sz w:val="28"/>
          <w:szCs w:val="28"/>
        </w:rPr>
        <w:t>的中医健康管理</w:t>
      </w:r>
      <w:r>
        <w:rPr>
          <w:rFonts w:hint="eastAsia"/>
          <w:sz w:val="28"/>
          <w:szCs w:val="28"/>
          <w:lang w:eastAsia="zh-CN"/>
        </w:rPr>
        <w:t>（</w:t>
      </w:r>
      <w:r>
        <w:rPr>
          <w:rFonts w:hint="eastAsia" w:ascii="Times New Roman"/>
          <w:sz w:val="28"/>
          <w:szCs w:val="28"/>
          <w:lang w:eastAsia="zh-CN"/>
        </w:rPr>
        <w:t>定义、高危因素、人群筛查、干预、随访和监测</w:t>
      </w:r>
      <w:r>
        <w:rPr>
          <w:rFonts w:hint="eastAsia" w:ascii="Times New Roman"/>
          <w:sz w:val="28"/>
          <w:szCs w:val="28"/>
          <w:lang w:val="en-US" w:eastAsia="zh-CN"/>
        </w:rPr>
        <w:t>等</w:t>
      </w:r>
      <w:r>
        <w:rPr>
          <w:rFonts w:hint="eastAsia" w:ascii="Times New Roman"/>
          <w:sz w:val="28"/>
          <w:szCs w:val="28"/>
          <w:lang w:eastAsia="zh-CN"/>
        </w:rPr>
        <w:t>）</w:t>
      </w:r>
      <w:r>
        <w:rPr>
          <w:rFonts w:hint="eastAsia" w:ascii="Times New Roman"/>
          <w:sz w:val="28"/>
          <w:szCs w:val="28"/>
          <w:lang w:val="en-US" w:eastAsia="zh-CN"/>
        </w:rPr>
        <w:t>进行了</w:t>
      </w:r>
      <w:r>
        <w:rPr>
          <w:rFonts w:hint="eastAsia"/>
          <w:sz w:val="28"/>
          <w:szCs w:val="28"/>
        </w:rPr>
        <w:t>系统整理与建议。制定过程结合了文献调研与专家论证</w:t>
      </w:r>
      <w:r>
        <w:rPr>
          <w:rFonts w:hint="eastAsia"/>
          <w:sz w:val="28"/>
          <w:szCs w:val="28"/>
          <w:lang w:eastAsia="zh-CN"/>
        </w:rPr>
        <w:t>，</w:t>
      </w:r>
      <w:r>
        <w:rPr>
          <w:rFonts w:hint="eastAsia"/>
          <w:sz w:val="28"/>
          <w:szCs w:val="28"/>
        </w:rPr>
        <w:t>保证了指南的规范性、科学性、实用性和可操作性。本标准</w:t>
      </w:r>
      <w:r>
        <w:rPr>
          <w:rFonts w:hint="eastAsia"/>
          <w:sz w:val="28"/>
          <w:szCs w:val="28"/>
          <w:lang w:val="en-US" w:eastAsia="zh-CN"/>
        </w:rPr>
        <w:t>聚焦</w:t>
      </w:r>
      <w:r>
        <w:rPr>
          <w:rFonts w:hint="eastAsia" w:ascii="Times New Roman"/>
          <w:sz w:val="28"/>
          <w:szCs w:val="28"/>
        </w:rPr>
        <w:t>“未病先防</w:t>
      </w:r>
      <w:r>
        <w:rPr>
          <w:rFonts w:hint="eastAsia" w:ascii="Times New Roman"/>
          <w:sz w:val="28"/>
          <w:szCs w:val="28"/>
          <w:lang w:eastAsia="zh-CN"/>
        </w:rPr>
        <w:t>，</w:t>
      </w:r>
      <w:r>
        <w:rPr>
          <w:rFonts w:hint="eastAsia" w:ascii="Times New Roman"/>
          <w:sz w:val="28"/>
          <w:szCs w:val="28"/>
        </w:rPr>
        <w:t>既病防变</w:t>
      </w:r>
      <w:r>
        <w:rPr>
          <w:rFonts w:hint="eastAsia" w:ascii="Times New Roman"/>
          <w:sz w:val="28"/>
          <w:szCs w:val="28"/>
          <w:lang w:eastAsia="zh-CN"/>
        </w:rPr>
        <w:t>，</w:t>
      </w:r>
      <w:r>
        <w:rPr>
          <w:rFonts w:hint="eastAsia" w:ascii="Times New Roman"/>
          <w:sz w:val="28"/>
          <w:szCs w:val="28"/>
        </w:rPr>
        <w:t>瘥后防复”</w:t>
      </w:r>
      <w:r>
        <w:rPr>
          <w:rFonts w:hint="eastAsia" w:ascii="Times New Roman"/>
          <w:sz w:val="28"/>
          <w:szCs w:val="28"/>
          <w:lang w:eastAsia="zh-CN"/>
        </w:rPr>
        <w:t>，</w:t>
      </w:r>
      <w:r>
        <w:rPr>
          <w:rFonts w:hint="eastAsia" w:ascii="Times New Roman"/>
          <w:sz w:val="28"/>
          <w:szCs w:val="28"/>
        </w:rPr>
        <w:t>将中医健康管理应用于</w:t>
      </w:r>
      <w:r>
        <w:rPr>
          <w:rFonts w:hint="eastAsia" w:ascii="Times New Roman"/>
          <w:sz w:val="28"/>
          <w:szCs w:val="28"/>
          <w:lang w:val="en-US" w:eastAsia="zh-CN"/>
        </w:rPr>
        <w:t>骨质疏松高风险人群</w:t>
      </w:r>
      <w:r>
        <w:rPr>
          <w:rFonts w:hint="eastAsia" w:ascii="Times New Roman"/>
          <w:sz w:val="28"/>
          <w:szCs w:val="28"/>
        </w:rPr>
        <w:t>的疾病管理</w:t>
      </w:r>
      <w:r>
        <w:rPr>
          <w:rFonts w:hint="eastAsia" w:ascii="Times New Roman"/>
          <w:sz w:val="28"/>
          <w:szCs w:val="28"/>
          <w:lang w:eastAsia="zh-CN"/>
        </w:rPr>
        <w:t>；将筛检的关口从骨质疏松前移至骨量减少阶段，从而辨识骨质疏松高风险人群，为在“未病”阶段进行干预提供客观依据，对临床辨识筛检骨质疏松高风险人群具有重要的指导意义。</w:t>
      </w:r>
    </w:p>
    <w:p w14:paraId="09BF9422">
      <w:pPr>
        <w:spacing w:before="156" w:beforeLines="50" w:after="156" w:afterLines="50"/>
        <w:rPr>
          <w:rFonts w:ascii="黑体" w:hAnsi="黑体" w:eastAsia="黑体"/>
          <w:sz w:val="28"/>
          <w:szCs w:val="28"/>
        </w:rPr>
      </w:pPr>
      <w:r>
        <w:rPr>
          <w:rFonts w:hint="eastAsia" w:ascii="黑体" w:hAnsi="黑体" w:eastAsia="黑体"/>
          <w:sz w:val="28"/>
          <w:szCs w:val="28"/>
        </w:rPr>
        <w:t>五</w:t>
      </w:r>
      <w:r>
        <w:rPr>
          <w:rFonts w:ascii="黑体" w:hAnsi="黑体" w:eastAsia="黑体"/>
          <w:sz w:val="28"/>
          <w:szCs w:val="28"/>
        </w:rPr>
        <w:t>、标准调研、研讨、征求意见情况</w:t>
      </w:r>
    </w:p>
    <w:p w14:paraId="001BC9DA">
      <w:pPr>
        <w:ind w:firstLine="560" w:firstLineChars="200"/>
        <w:rPr>
          <w:rFonts w:ascii="宋体" w:hAnsi="宋体"/>
          <w:sz w:val="28"/>
          <w:szCs w:val="28"/>
        </w:rPr>
      </w:pPr>
      <w:r>
        <w:rPr>
          <w:rFonts w:hint="eastAsia" w:ascii="宋体" w:hAnsi="宋体"/>
          <w:sz w:val="28"/>
          <w:szCs w:val="28"/>
        </w:rPr>
        <w:t>（一）成立标准起草小组，制定工作方案</w:t>
      </w:r>
    </w:p>
    <w:p w14:paraId="460226C2">
      <w:pPr>
        <w:ind w:firstLine="560" w:firstLineChars="200"/>
        <w:rPr>
          <w:rFonts w:ascii="宋体" w:hAnsi="宋体"/>
          <w:sz w:val="28"/>
          <w:szCs w:val="28"/>
        </w:rPr>
      </w:pPr>
      <w:r>
        <w:rPr>
          <w:rFonts w:hint="eastAsia" w:ascii="宋体" w:hAnsi="宋体"/>
          <w:sz w:val="28"/>
          <w:szCs w:val="28"/>
        </w:rPr>
        <w:t>2023年</w:t>
      </w:r>
      <w:r>
        <w:rPr>
          <w:rFonts w:hint="eastAsia" w:ascii="宋体" w:hAnsi="宋体"/>
          <w:sz w:val="28"/>
          <w:szCs w:val="28"/>
          <w:lang w:val="en-US" w:eastAsia="zh-CN"/>
        </w:rPr>
        <w:t>12</w:t>
      </w:r>
      <w:r>
        <w:rPr>
          <w:rFonts w:hint="eastAsia" w:ascii="宋体" w:hAnsi="宋体"/>
          <w:sz w:val="28"/>
          <w:szCs w:val="28"/>
        </w:rPr>
        <w:t>月，成立标准起草小组，制定标准编制工作方案和进度安排表。</w:t>
      </w:r>
    </w:p>
    <w:p w14:paraId="13E52357">
      <w:pPr>
        <w:numPr>
          <w:ilvl w:val="0"/>
          <w:numId w:val="2"/>
        </w:numPr>
        <w:ind w:firstLine="560" w:firstLineChars="200"/>
        <w:rPr>
          <w:rFonts w:hint="eastAsia" w:ascii="宋体" w:hAnsi="宋体"/>
          <w:sz w:val="28"/>
          <w:szCs w:val="28"/>
        </w:rPr>
      </w:pPr>
      <w:r>
        <w:rPr>
          <w:rFonts w:hint="eastAsia" w:ascii="宋体" w:hAnsi="宋体"/>
          <w:sz w:val="28"/>
          <w:szCs w:val="28"/>
        </w:rPr>
        <w:t>收集相关资料</w:t>
      </w:r>
    </w:p>
    <w:p w14:paraId="70063401">
      <w:pPr>
        <w:numPr>
          <w:ilvl w:val="0"/>
          <w:numId w:val="0"/>
        </w:numPr>
        <w:ind w:firstLine="560" w:firstLineChars="200"/>
        <w:rPr>
          <w:rFonts w:hint="eastAsia" w:ascii="宋体" w:hAnsi="宋体"/>
          <w:sz w:val="28"/>
          <w:szCs w:val="28"/>
        </w:rPr>
      </w:pPr>
      <w:r>
        <w:rPr>
          <w:rFonts w:hint="eastAsia" w:ascii="宋体" w:hAnsi="宋体"/>
          <w:sz w:val="28"/>
          <w:szCs w:val="28"/>
        </w:rPr>
        <w:t>202</w:t>
      </w:r>
      <w:r>
        <w:rPr>
          <w:rFonts w:hint="eastAsia" w:ascii="宋体" w:hAnsi="宋体"/>
          <w:sz w:val="28"/>
          <w:szCs w:val="28"/>
          <w:lang w:val="en-US" w:eastAsia="zh-CN"/>
        </w:rPr>
        <w:t>4</w:t>
      </w:r>
      <w:r>
        <w:rPr>
          <w:rFonts w:hint="eastAsia" w:ascii="宋体" w:hAnsi="宋体"/>
          <w:sz w:val="28"/>
          <w:szCs w:val="28"/>
        </w:rPr>
        <w:t>年</w:t>
      </w:r>
      <w:r>
        <w:rPr>
          <w:rFonts w:hint="eastAsia" w:ascii="宋体" w:hAnsi="宋体"/>
          <w:sz w:val="28"/>
          <w:szCs w:val="28"/>
          <w:lang w:val="en-US" w:eastAsia="zh-CN"/>
        </w:rPr>
        <w:t>1</w:t>
      </w:r>
      <w:r>
        <w:rPr>
          <w:rFonts w:hint="eastAsia" w:ascii="宋体" w:hAnsi="宋体"/>
          <w:sz w:val="28"/>
          <w:szCs w:val="28"/>
        </w:rPr>
        <w:t>月</w:t>
      </w:r>
      <w:r>
        <w:rPr>
          <w:rFonts w:ascii="宋体" w:hAnsi="宋体"/>
          <w:sz w:val="28"/>
          <w:szCs w:val="28"/>
        </w:rPr>
        <w:t>-</w:t>
      </w:r>
      <w:r>
        <w:rPr>
          <w:rFonts w:hint="eastAsia" w:ascii="宋体" w:hAnsi="宋体"/>
          <w:sz w:val="28"/>
          <w:szCs w:val="28"/>
          <w:lang w:val="en-US" w:eastAsia="zh-CN"/>
        </w:rPr>
        <w:t>5</w:t>
      </w:r>
      <w:r>
        <w:rPr>
          <w:rFonts w:hint="eastAsia" w:ascii="宋体" w:hAnsi="宋体"/>
          <w:sz w:val="28"/>
          <w:szCs w:val="28"/>
        </w:rPr>
        <w:t>月</w:t>
      </w:r>
      <w:r>
        <w:rPr>
          <w:rFonts w:ascii="宋体" w:hAnsi="宋体"/>
          <w:sz w:val="28"/>
          <w:szCs w:val="28"/>
        </w:rPr>
        <w:t>，</w:t>
      </w:r>
      <w:r>
        <w:rPr>
          <w:rFonts w:hint="eastAsia" w:ascii="宋体" w:hAnsi="宋体"/>
          <w:sz w:val="28"/>
          <w:szCs w:val="28"/>
        </w:rPr>
        <w:t>起草</w:t>
      </w:r>
      <w:r>
        <w:rPr>
          <w:rFonts w:ascii="宋体" w:hAnsi="宋体"/>
          <w:sz w:val="28"/>
          <w:szCs w:val="28"/>
        </w:rPr>
        <w:t>小组</w:t>
      </w:r>
      <w:r>
        <w:rPr>
          <w:rFonts w:hint="eastAsia" w:ascii="宋体" w:hAnsi="宋体"/>
          <w:sz w:val="28"/>
          <w:szCs w:val="28"/>
        </w:rPr>
        <w:t>广泛</w:t>
      </w:r>
      <w:r>
        <w:rPr>
          <w:rFonts w:ascii="宋体" w:hAnsi="宋体"/>
          <w:sz w:val="28"/>
          <w:szCs w:val="28"/>
        </w:rPr>
        <w:t>收集</w:t>
      </w:r>
      <w:r>
        <w:rPr>
          <w:rFonts w:hint="eastAsia" w:ascii="宋体" w:hAnsi="宋体"/>
          <w:sz w:val="28"/>
          <w:szCs w:val="28"/>
        </w:rPr>
        <w:t>国内省内关于</w:t>
      </w:r>
      <w:r>
        <w:rPr>
          <w:rFonts w:hint="eastAsia" w:ascii="Times New Roman"/>
          <w:sz w:val="28"/>
          <w:szCs w:val="28"/>
          <w:lang w:eastAsia="zh-CN"/>
        </w:rPr>
        <w:t>骨质疏松高风险人群中医健康管理</w:t>
      </w:r>
      <w:r>
        <w:rPr>
          <w:rFonts w:hint="eastAsia" w:ascii="宋体" w:hAnsi="宋体"/>
          <w:sz w:val="28"/>
          <w:szCs w:val="28"/>
        </w:rPr>
        <w:t>的要求与文件</w:t>
      </w:r>
      <w:r>
        <w:rPr>
          <w:rFonts w:hint="eastAsia" w:ascii="宋体" w:hAnsi="宋体"/>
          <w:sz w:val="28"/>
          <w:szCs w:val="28"/>
          <w:lang w:eastAsia="zh-CN"/>
        </w:rPr>
        <w:t>；</w:t>
      </w:r>
      <w:r>
        <w:rPr>
          <w:rFonts w:hint="eastAsia" w:ascii="宋体" w:hAnsi="宋体"/>
          <w:sz w:val="28"/>
          <w:szCs w:val="28"/>
        </w:rPr>
        <w:t>202</w:t>
      </w:r>
      <w:r>
        <w:rPr>
          <w:rFonts w:hint="eastAsia" w:ascii="宋体" w:hAnsi="宋体"/>
          <w:sz w:val="28"/>
          <w:szCs w:val="28"/>
          <w:lang w:val="en-US" w:eastAsia="zh-CN"/>
        </w:rPr>
        <w:t>4</w:t>
      </w:r>
      <w:r>
        <w:rPr>
          <w:rFonts w:hint="eastAsia" w:ascii="宋体" w:hAnsi="宋体"/>
          <w:sz w:val="28"/>
          <w:szCs w:val="28"/>
        </w:rPr>
        <w:t>年</w:t>
      </w:r>
      <w:r>
        <w:rPr>
          <w:rFonts w:hint="eastAsia" w:ascii="宋体" w:hAnsi="宋体"/>
          <w:sz w:val="28"/>
          <w:szCs w:val="28"/>
          <w:lang w:val="en-US" w:eastAsia="zh-CN"/>
        </w:rPr>
        <w:t>6</w:t>
      </w:r>
      <w:r>
        <w:rPr>
          <w:rFonts w:hint="eastAsia" w:ascii="宋体" w:hAnsi="宋体"/>
          <w:sz w:val="28"/>
          <w:szCs w:val="28"/>
        </w:rPr>
        <w:t>月</w:t>
      </w:r>
      <w:r>
        <w:rPr>
          <w:rFonts w:ascii="宋体" w:hAnsi="宋体"/>
          <w:sz w:val="28"/>
          <w:szCs w:val="28"/>
        </w:rPr>
        <w:t>-</w:t>
      </w:r>
      <w:r>
        <w:rPr>
          <w:rFonts w:hint="eastAsia" w:ascii="宋体" w:hAnsi="宋体"/>
          <w:sz w:val="28"/>
          <w:szCs w:val="28"/>
          <w:lang w:val="en-US" w:eastAsia="zh-CN"/>
        </w:rPr>
        <w:t>10</w:t>
      </w:r>
      <w:r>
        <w:rPr>
          <w:rFonts w:hint="eastAsia" w:ascii="宋体" w:hAnsi="宋体"/>
          <w:sz w:val="28"/>
          <w:szCs w:val="28"/>
        </w:rPr>
        <w:t>月系统梳理已发布的国家政策、标准、地方法规，比对本标准，明确本标准与现行其他标准的区别与联系。提取已发表的期刊文献中有关于中医药健康管理的信息，并系统总结与概括，撰写指南编制文献调研报告。</w:t>
      </w:r>
      <w:r>
        <w:rPr>
          <w:rFonts w:hint="eastAsia" w:ascii="宋体" w:hAnsi="宋体"/>
          <w:sz w:val="28"/>
          <w:szCs w:val="28"/>
        </w:rPr>
        <w:t>在此基础上</w:t>
      </w:r>
      <w:r>
        <w:rPr>
          <w:rFonts w:ascii="宋体" w:hAnsi="宋体"/>
          <w:sz w:val="28"/>
          <w:szCs w:val="28"/>
        </w:rPr>
        <w:t>起草标准大纲，</w:t>
      </w:r>
      <w:r>
        <w:rPr>
          <w:rFonts w:hint="eastAsia" w:ascii="宋体" w:hAnsi="宋体"/>
          <w:sz w:val="28"/>
          <w:szCs w:val="28"/>
        </w:rPr>
        <w:t>并于</w:t>
      </w:r>
      <w:r>
        <w:rPr>
          <w:rFonts w:hint="eastAsia" w:ascii="宋体" w:hAnsi="宋体"/>
          <w:sz w:val="28"/>
          <w:szCs w:val="28"/>
        </w:rPr>
        <w:t>202</w:t>
      </w:r>
      <w:r>
        <w:rPr>
          <w:rFonts w:hint="eastAsia" w:ascii="宋体" w:hAnsi="宋体"/>
          <w:sz w:val="28"/>
          <w:szCs w:val="28"/>
          <w:lang w:val="en-US" w:eastAsia="zh-CN"/>
        </w:rPr>
        <w:t>4年11</w:t>
      </w:r>
      <w:r>
        <w:rPr>
          <w:rFonts w:hint="eastAsia" w:ascii="宋体" w:hAnsi="宋体"/>
          <w:sz w:val="28"/>
          <w:szCs w:val="28"/>
        </w:rPr>
        <w:t>月</w:t>
      </w:r>
      <w:r>
        <w:rPr>
          <w:rFonts w:ascii="宋体" w:hAnsi="宋体"/>
          <w:sz w:val="28"/>
          <w:szCs w:val="28"/>
        </w:rPr>
        <w:t>完成标准草案的起草工作。</w:t>
      </w:r>
      <w:r>
        <w:rPr>
          <w:rFonts w:hint="eastAsia" w:ascii="宋体" w:hAnsi="宋体"/>
          <w:sz w:val="28"/>
          <w:szCs w:val="28"/>
        </w:rPr>
        <w:t>202</w:t>
      </w:r>
      <w:r>
        <w:rPr>
          <w:rFonts w:hint="eastAsia" w:ascii="宋体" w:hAnsi="宋体"/>
          <w:sz w:val="28"/>
          <w:szCs w:val="28"/>
          <w:lang w:val="en-US" w:eastAsia="zh-CN"/>
        </w:rPr>
        <w:t>4</w:t>
      </w:r>
      <w:r>
        <w:rPr>
          <w:rFonts w:hint="eastAsia" w:ascii="宋体" w:hAnsi="宋体"/>
          <w:sz w:val="28"/>
          <w:szCs w:val="28"/>
        </w:rPr>
        <w:t>年</w:t>
      </w:r>
      <w:r>
        <w:rPr>
          <w:rFonts w:hint="eastAsia" w:ascii="宋体" w:hAnsi="宋体"/>
          <w:sz w:val="28"/>
          <w:szCs w:val="28"/>
          <w:lang w:val="en-US" w:eastAsia="zh-CN"/>
        </w:rPr>
        <w:t>12</w:t>
      </w:r>
      <w:r>
        <w:rPr>
          <w:rFonts w:hint="eastAsia" w:ascii="宋体" w:hAnsi="宋体"/>
          <w:sz w:val="28"/>
          <w:szCs w:val="28"/>
        </w:rPr>
        <w:t>月</w:t>
      </w:r>
      <w:r>
        <w:rPr>
          <w:rFonts w:hint="eastAsia" w:ascii="宋体" w:hAnsi="宋体"/>
          <w:sz w:val="28"/>
          <w:szCs w:val="28"/>
          <w:lang w:val="en-US" w:eastAsia="zh-CN"/>
        </w:rPr>
        <w:t>-2025年1月</w:t>
      </w:r>
      <w:r>
        <w:rPr>
          <w:rFonts w:hint="eastAsia" w:ascii="宋体" w:hAnsi="宋体"/>
          <w:sz w:val="28"/>
          <w:szCs w:val="28"/>
        </w:rPr>
        <w:t>，起草小组组织</w:t>
      </w:r>
      <w:r>
        <w:rPr>
          <w:rFonts w:ascii="宋体" w:hAnsi="宋体"/>
          <w:sz w:val="28"/>
          <w:szCs w:val="28"/>
        </w:rPr>
        <w:t>多次内部讨论会，</w:t>
      </w:r>
      <w:r>
        <w:rPr>
          <w:rFonts w:hint="eastAsia" w:ascii="宋体" w:hAnsi="宋体"/>
          <w:sz w:val="28"/>
          <w:szCs w:val="28"/>
        </w:rPr>
        <w:t>探讨</w:t>
      </w:r>
      <w:r>
        <w:rPr>
          <w:rFonts w:ascii="宋体" w:hAnsi="宋体"/>
          <w:sz w:val="28"/>
          <w:szCs w:val="28"/>
        </w:rPr>
        <w:t>标准框架和编写</w:t>
      </w:r>
      <w:r>
        <w:rPr>
          <w:rFonts w:hint="eastAsia" w:ascii="宋体" w:hAnsi="宋体"/>
          <w:sz w:val="28"/>
          <w:szCs w:val="28"/>
        </w:rPr>
        <w:t>内容</w:t>
      </w:r>
      <w:r>
        <w:rPr>
          <w:rFonts w:ascii="宋体" w:hAnsi="宋体"/>
          <w:sz w:val="28"/>
          <w:szCs w:val="28"/>
        </w:rPr>
        <w:t>的合理性。</w:t>
      </w:r>
      <w:r>
        <w:rPr>
          <w:rFonts w:hint="eastAsia" w:ascii="宋体" w:hAnsi="宋体"/>
          <w:sz w:val="28"/>
          <w:szCs w:val="28"/>
        </w:rPr>
        <w:t>经过</w:t>
      </w:r>
      <w:r>
        <w:rPr>
          <w:rFonts w:ascii="宋体" w:hAnsi="宋体"/>
          <w:sz w:val="28"/>
          <w:szCs w:val="28"/>
        </w:rPr>
        <w:t>多轮内部讨论和修改，形成本标准的</w:t>
      </w:r>
      <w:r>
        <w:rPr>
          <w:rFonts w:hint="eastAsia" w:ascii="宋体" w:hAnsi="宋体"/>
          <w:sz w:val="28"/>
          <w:szCs w:val="28"/>
        </w:rPr>
        <w:t>征求意见稿</w:t>
      </w:r>
      <w:r>
        <w:rPr>
          <w:rFonts w:ascii="宋体" w:hAnsi="宋体"/>
          <w:sz w:val="28"/>
          <w:szCs w:val="28"/>
        </w:rPr>
        <w:t>。</w:t>
      </w:r>
    </w:p>
    <w:p w14:paraId="57A1D75D">
      <w:pPr>
        <w:ind w:firstLine="560" w:firstLineChars="200"/>
        <w:rPr>
          <w:rFonts w:ascii="宋体" w:hAnsi="宋体"/>
          <w:sz w:val="28"/>
          <w:szCs w:val="28"/>
        </w:rPr>
      </w:pPr>
      <w:r>
        <w:rPr>
          <w:rFonts w:hint="eastAsia" w:ascii="宋体" w:hAnsi="宋体"/>
          <w:sz w:val="28"/>
          <w:szCs w:val="28"/>
        </w:rPr>
        <w:t>（三）征求意见情况</w:t>
      </w:r>
    </w:p>
    <w:p w14:paraId="5A591BE1">
      <w:pPr>
        <w:ind w:firstLine="560" w:firstLineChars="200"/>
        <w:rPr>
          <w:rFonts w:hint="default" w:ascii="宋体" w:hAnsi="宋体"/>
          <w:sz w:val="28"/>
          <w:szCs w:val="28"/>
          <w:lang w:val="en-US"/>
        </w:rPr>
      </w:pPr>
      <w:r>
        <w:rPr>
          <w:rFonts w:hint="eastAsia" w:ascii="宋体" w:hAnsi="宋体"/>
          <w:sz w:val="28"/>
          <w:szCs w:val="28"/>
        </w:rPr>
        <w:t>本文件</w:t>
      </w:r>
      <w:r>
        <w:rPr>
          <w:rFonts w:ascii="宋体" w:hAnsi="宋体"/>
          <w:sz w:val="28"/>
          <w:szCs w:val="28"/>
        </w:rPr>
        <w:t>在</w:t>
      </w:r>
      <w:r>
        <w:rPr>
          <w:rFonts w:hint="eastAsia" w:ascii="宋体" w:hAnsi="宋体"/>
          <w:sz w:val="28"/>
          <w:szCs w:val="28"/>
        </w:rPr>
        <w:t>202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2</w:t>
      </w:r>
      <w:r>
        <w:rPr>
          <w:rFonts w:hint="eastAsia" w:ascii="宋体" w:hAnsi="宋体"/>
          <w:sz w:val="28"/>
          <w:szCs w:val="28"/>
        </w:rPr>
        <w:t>月</w:t>
      </w:r>
      <w:r>
        <w:rPr>
          <w:rFonts w:ascii="宋体" w:hAnsi="宋体"/>
          <w:sz w:val="28"/>
          <w:szCs w:val="28"/>
        </w:rPr>
        <w:t>开展征求意见工作</w:t>
      </w:r>
      <w:r>
        <w:rPr>
          <w:rFonts w:hint="eastAsia" w:ascii="宋体" w:hAnsi="宋体"/>
          <w:sz w:val="28"/>
          <w:szCs w:val="28"/>
          <w:lang w:eastAsia="zh-CN"/>
        </w:rPr>
        <w:t>，发送《征求意见稿》的单位数</w:t>
      </w:r>
      <w:r>
        <w:rPr>
          <w:rFonts w:hint="eastAsia" w:ascii="宋体" w:hAnsi="宋体"/>
          <w:sz w:val="28"/>
          <w:szCs w:val="28"/>
          <w:lang w:val="en-US" w:eastAsia="zh-CN"/>
        </w:rPr>
        <w:t>为</w:t>
      </w:r>
      <w:r>
        <w:rPr>
          <w:rFonts w:hint="eastAsia" w:ascii="宋体" w:hAnsi="宋体"/>
          <w:sz w:val="28"/>
          <w:szCs w:val="28"/>
          <w:lang w:eastAsia="zh-CN"/>
        </w:rPr>
        <w:t>3</w:t>
      </w:r>
      <w:r>
        <w:rPr>
          <w:rFonts w:hint="eastAsia" w:ascii="宋体" w:hAnsi="宋体"/>
          <w:sz w:val="28"/>
          <w:szCs w:val="28"/>
          <w:lang w:val="en-US" w:eastAsia="zh-CN"/>
        </w:rPr>
        <w:t>6个，收到《征求意见稿》后回函的单位数为36个，收到《征求意见稿》后回函并有建议或意见的单位数为34个，共有建议或意见34条，采纳31条，部分采纳2条，未采纳1条。</w:t>
      </w:r>
    </w:p>
    <w:p w14:paraId="04393579">
      <w:pPr>
        <w:spacing w:before="156" w:beforeLines="50" w:after="156" w:afterLines="50"/>
        <w:rPr>
          <w:rFonts w:ascii="黑体" w:hAnsi="黑体" w:eastAsia="黑体"/>
          <w:sz w:val="28"/>
          <w:szCs w:val="28"/>
        </w:rPr>
      </w:pPr>
      <w:r>
        <w:rPr>
          <w:rFonts w:hint="eastAsia" w:ascii="黑体" w:hAnsi="黑体" w:eastAsia="黑体"/>
          <w:sz w:val="28"/>
          <w:szCs w:val="28"/>
        </w:rPr>
        <w:t>六</w:t>
      </w:r>
      <w:r>
        <w:rPr>
          <w:rFonts w:ascii="黑体" w:hAnsi="黑体" w:eastAsia="黑体"/>
          <w:sz w:val="28"/>
          <w:szCs w:val="28"/>
        </w:rPr>
        <w:t>、技术指标设置的科学性和可行性</w:t>
      </w:r>
    </w:p>
    <w:p w14:paraId="17F8C254">
      <w:pPr>
        <w:spacing w:before="156" w:beforeLines="50" w:after="156" w:afterLines="50"/>
        <w:ind w:firstLine="560" w:firstLineChars="200"/>
        <w:rPr>
          <w:rFonts w:hint="eastAsia" w:ascii="宋体" w:hAnsi="宋体"/>
          <w:sz w:val="28"/>
          <w:szCs w:val="28"/>
        </w:rPr>
      </w:pPr>
      <w:r>
        <w:rPr>
          <w:rFonts w:hint="eastAsia" w:ascii="宋体" w:hAnsi="宋体"/>
          <w:sz w:val="28"/>
          <w:szCs w:val="28"/>
        </w:rPr>
        <w:t>本标准的制订过程严格遵循了规范性、科学性、实用性和可操作性等原则，以中医药理论为基础，充分发挥中医药优势；同时借鉴国内健康管理的相关内容与流程，合理的整合中医健康管理的要求与方法，以达到编制内容科学合理，内容可行性高，标准可持续改进的要求。</w:t>
      </w:r>
    </w:p>
    <w:p w14:paraId="70D49880">
      <w:pPr>
        <w:spacing w:before="156" w:beforeLines="50" w:after="156" w:afterLines="50"/>
        <w:rPr>
          <w:rFonts w:ascii="黑体" w:hAnsi="黑体" w:eastAsia="黑体"/>
          <w:sz w:val="28"/>
          <w:szCs w:val="28"/>
        </w:rPr>
      </w:pPr>
      <w:r>
        <w:rPr>
          <w:rFonts w:hint="eastAsia" w:ascii="黑体" w:hAnsi="黑体" w:eastAsia="黑体"/>
          <w:sz w:val="28"/>
          <w:szCs w:val="28"/>
        </w:rPr>
        <w:t>七</w:t>
      </w:r>
      <w:r>
        <w:rPr>
          <w:rFonts w:ascii="黑体" w:hAnsi="黑体" w:eastAsia="黑体"/>
          <w:sz w:val="28"/>
          <w:szCs w:val="28"/>
        </w:rPr>
        <w:t>、与现行法律法规、强制性</w:t>
      </w:r>
      <w:r>
        <w:rPr>
          <w:rFonts w:hint="eastAsia" w:ascii="黑体" w:hAnsi="黑体" w:eastAsia="黑体"/>
          <w:sz w:val="28"/>
          <w:szCs w:val="28"/>
        </w:rPr>
        <w:t>国家</w:t>
      </w:r>
      <w:r>
        <w:rPr>
          <w:rFonts w:ascii="黑体" w:hAnsi="黑体" w:eastAsia="黑体"/>
          <w:sz w:val="28"/>
          <w:szCs w:val="28"/>
        </w:rPr>
        <w:t>标准等</w:t>
      </w:r>
      <w:r>
        <w:rPr>
          <w:rFonts w:hint="eastAsia" w:ascii="黑体" w:hAnsi="黑体" w:eastAsia="黑体"/>
          <w:sz w:val="28"/>
          <w:szCs w:val="28"/>
        </w:rPr>
        <w:t>的</w:t>
      </w:r>
      <w:r>
        <w:rPr>
          <w:rFonts w:ascii="黑体" w:hAnsi="黑体" w:eastAsia="黑体"/>
          <w:sz w:val="28"/>
          <w:szCs w:val="28"/>
        </w:rPr>
        <w:t>关系</w:t>
      </w:r>
    </w:p>
    <w:p w14:paraId="7D60C916">
      <w:pPr>
        <w:ind w:firstLine="560" w:firstLineChars="200"/>
        <w:rPr>
          <w:rFonts w:ascii="宋体" w:hAnsi="宋体"/>
          <w:sz w:val="28"/>
          <w:szCs w:val="28"/>
        </w:rPr>
      </w:pPr>
      <w:r>
        <w:rPr>
          <w:rFonts w:hint="eastAsia" w:ascii="宋体" w:hAnsi="宋体"/>
          <w:sz w:val="28"/>
          <w:szCs w:val="28"/>
        </w:rPr>
        <w:t>本标准符合国家相关法律、法规及相关国家标准</w:t>
      </w:r>
      <w:r>
        <w:rPr>
          <w:rFonts w:hint="eastAsia" w:ascii="宋体" w:hAnsi="宋体"/>
          <w:sz w:val="28"/>
          <w:szCs w:val="28"/>
          <w:lang w:eastAsia="zh-CN"/>
        </w:rPr>
        <w:t>，</w:t>
      </w:r>
      <w:r>
        <w:rPr>
          <w:rFonts w:hint="eastAsia" w:ascii="宋体" w:hAnsi="宋体"/>
          <w:sz w:val="28"/>
          <w:szCs w:val="28"/>
        </w:rPr>
        <w:t>与现行的国家相关法律、法规无冲突和不一致之处。</w:t>
      </w:r>
    </w:p>
    <w:p w14:paraId="2B45F94C">
      <w:pPr>
        <w:spacing w:before="156" w:beforeLines="50" w:after="156" w:afterLines="50"/>
        <w:rPr>
          <w:rFonts w:ascii="黑体" w:hAnsi="黑体" w:eastAsia="黑体"/>
          <w:sz w:val="28"/>
          <w:szCs w:val="28"/>
        </w:rPr>
      </w:pPr>
      <w:r>
        <w:rPr>
          <w:rFonts w:hint="eastAsia" w:ascii="黑体" w:hAnsi="黑体" w:eastAsia="黑体"/>
          <w:sz w:val="28"/>
          <w:szCs w:val="28"/>
        </w:rPr>
        <w:t>八</w:t>
      </w:r>
      <w:r>
        <w:rPr>
          <w:rFonts w:ascii="黑体" w:hAnsi="黑体" w:eastAsia="黑体"/>
          <w:sz w:val="28"/>
          <w:szCs w:val="28"/>
        </w:rPr>
        <w:t>、与国际、国家、行业、</w:t>
      </w:r>
      <w:r>
        <w:rPr>
          <w:rFonts w:hint="eastAsia" w:ascii="黑体" w:hAnsi="黑体" w:eastAsia="黑体"/>
          <w:sz w:val="28"/>
          <w:szCs w:val="28"/>
          <w:lang w:eastAsia="zh-CN"/>
        </w:rPr>
        <w:t>地方同类</w:t>
      </w:r>
      <w:r>
        <w:rPr>
          <w:rFonts w:ascii="黑体" w:hAnsi="黑体" w:eastAsia="黑体"/>
          <w:sz w:val="28"/>
          <w:szCs w:val="28"/>
        </w:rPr>
        <w:t>标准技术内容的对比情况，或者与测试的国外样品、样机的有关数据对比情况</w:t>
      </w:r>
      <w:r>
        <w:rPr>
          <w:rFonts w:hint="eastAsia" w:ascii="黑体" w:hAnsi="黑体" w:eastAsia="黑体"/>
          <w:sz w:val="28"/>
          <w:szCs w:val="28"/>
        </w:rPr>
        <w:t>，</w:t>
      </w:r>
      <w:r>
        <w:rPr>
          <w:rFonts w:ascii="黑体" w:hAnsi="黑体" w:eastAsia="黑体"/>
          <w:sz w:val="28"/>
          <w:szCs w:val="28"/>
        </w:rPr>
        <w:t>采标情况，以及是否合规引用或采用国际国外标准</w:t>
      </w:r>
    </w:p>
    <w:p w14:paraId="4E6C8740">
      <w:pPr>
        <w:ind w:firstLine="560" w:firstLineChars="200"/>
        <w:rPr>
          <w:rFonts w:hint="eastAsia" w:ascii="宋体" w:hAnsi="宋体"/>
          <w:sz w:val="28"/>
          <w:szCs w:val="28"/>
        </w:rPr>
      </w:pPr>
      <w:r>
        <w:rPr>
          <w:rFonts w:hint="eastAsia" w:ascii="宋体" w:hAnsi="宋体"/>
          <w:sz w:val="28"/>
          <w:szCs w:val="28"/>
        </w:rPr>
        <w:t>我国尚无</w:t>
      </w:r>
      <w:r>
        <w:rPr>
          <w:rFonts w:hint="eastAsia" w:ascii="Times New Roman"/>
          <w:sz w:val="28"/>
          <w:szCs w:val="28"/>
          <w:lang w:eastAsia="zh-CN"/>
        </w:rPr>
        <w:t>骨质疏松高风险人群中医健康管理</w:t>
      </w:r>
      <w:r>
        <w:rPr>
          <w:rFonts w:hint="eastAsia" w:ascii="宋体" w:hAnsi="宋体"/>
          <w:sz w:val="28"/>
          <w:szCs w:val="28"/>
        </w:rPr>
        <w:t>的国家、行业和地方标准，不存在与国家标准、行业标准及相关标准内容的异同。</w:t>
      </w:r>
    </w:p>
    <w:p w14:paraId="5BFEA643">
      <w:pPr>
        <w:spacing w:before="156" w:beforeLines="50" w:after="156" w:afterLines="50"/>
        <w:rPr>
          <w:rFonts w:ascii="黑体" w:hAnsi="黑体" w:eastAsia="黑体"/>
          <w:sz w:val="28"/>
          <w:szCs w:val="28"/>
        </w:rPr>
      </w:pPr>
      <w:r>
        <w:rPr>
          <w:rFonts w:ascii="黑体" w:hAnsi="黑体" w:eastAsia="黑体"/>
          <w:sz w:val="28"/>
          <w:szCs w:val="28"/>
        </w:rPr>
        <w:t>九、涉及专利的有关说明</w:t>
      </w:r>
    </w:p>
    <w:p w14:paraId="29768F2D">
      <w:pPr>
        <w:spacing w:before="156" w:beforeLines="50" w:after="156" w:afterLines="50"/>
        <w:ind w:firstLine="560" w:firstLineChars="200"/>
        <w:rPr>
          <w:rFonts w:hint="eastAsia" w:ascii="宋体" w:hAnsi="宋体"/>
          <w:sz w:val="28"/>
          <w:szCs w:val="28"/>
        </w:rPr>
      </w:pPr>
      <w:r>
        <w:rPr>
          <w:rFonts w:hint="eastAsia" w:ascii="宋体" w:hAnsi="宋体"/>
          <w:sz w:val="28"/>
          <w:szCs w:val="28"/>
        </w:rPr>
        <w:t>本标准不涉及专利。</w:t>
      </w:r>
    </w:p>
    <w:p w14:paraId="733DB779">
      <w:pPr>
        <w:spacing w:before="156" w:beforeLines="50" w:after="156" w:afterLines="50"/>
        <w:rPr>
          <w:rFonts w:ascii="黑体" w:hAnsi="黑体" w:eastAsia="黑体"/>
          <w:sz w:val="28"/>
          <w:szCs w:val="28"/>
        </w:rPr>
      </w:pPr>
      <w:r>
        <w:rPr>
          <w:rFonts w:hint="eastAsia" w:ascii="黑体" w:hAnsi="黑体" w:eastAsia="黑体"/>
          <w:sz w:val="28"/>
          <w:szCs w:val="28"/>
        </w:rPr>
        <w:t>十</w:t>
      </w:r>
      <w:r>
        <w:rPr>
          <w:rFonts w:ascii="黑体" w:hAnsi="黑体" w:eastAsia="黑体"/>
          <w:sz w:val="28"/>
          <w:szCs w:val="28"/>
        </w:rPr>
        <w:t>、其他应当说明的事项</w:t>
      </w:r>
    </w:p>
    <w:p w14:paraId="3AFED891">
      <w:pPr>
        <w:spacing w:before="156" w:beforeLines="50" w:after="156" w:afterLines="50"/>
        <w:ind w:firstLine="560" w:firstLineChars="200"/>
        <w:rPr>
          <w:rFonts w:hint="eastAsia" w:ascii="宋体" w:hAnsi="宋体"/>
          <w:sz w:val="28"/>
          <w:szCs w:val="28"/>
        </w:rPr>
      </w:pPr>
      <w:r>
        <w:rPr>
          <w:rFonts w:hint="eastAsia" w:ascii="宋体" w:hAnsi="宋体"/>
          <w:sz w:val="28"/>
          <w:szCs w:val="28"/>
        </w:rPr>
        <w:t>无。</w:t>
      </w:r>
    </w:p>
    <w:p w14:paraId="7977B2FA">
      <w:pPr>
        <w:spacing w:before="156" w:beforeLines="50" w:after="156" w:afterLines="50"/>
        <w:rPr>
          <w:rFonts w:ascii="黑体" w:hAnsi="黑体" w:eastAsia="黑体"/>
          <w:sz w:val="28"/>
          <w:szCs w:val="28"/>
        </w:rPr>
      </w:pPr>
      <w:r>
        <w:rPr>
          <w:rFonts w:ascii="黑体" w:hAnsi="黑体" w:eastAsia="黑体"/>
          <w:sz w:val="28"/>
          <w:szCs w:val="28"/>
        </w:rPr>
        <w:t>十</w:t>
      </w:r>
      <w:r>
        <w:rPr>
          <w:rFonts w:hint="eastAsia" w:ascii="黑体" w:hAnsi="黑体" w:eastAsia="黑体"/>
          <w:sz w:val="28"/>
          <w:szCs w:val="28"/>
        </w:rPr>
        <w:t>一</w:t>
      </w:r>
      <w:r>
        <w:rPr>
          <w:rFonts w:ascii="黑体" w:hAnsi="黑体" w:eastAsia="黑体"/>
          <w:sz w:val="28"/>
          <w:szCs w:val="28"/>
        </w:rPr>
        <w:t>、贯彻地方标准</w:t>
      </w:r>
      <w:r>
        <w:rPr>
          <w:rFonts w:hint="eastAsia" w:ascii="黑体" w:hAnsi="黑体" w:eastAsia="黑体"/>
          <w:sz w:val="28"/>
          <w:szCs w:val="28"/>
        </w:rPr>
        <w:t>的</w:t>
      </w:r>
      <w:r>
        <w:rPr>
          <w:rFonts w:ascii="黑体" w:hAnsi="黑体" w:eastAsia="黑体"/>
          <w:sz w:val="28"/>
          <w:szCs w:val="28"/>
        </w:rPr>
        <w:t>建议</w:t>
      </w:r>
    </w:p>
    <w:p w14:paraId="091FE6B3">
      <w:pPr>
        <w:ind w:firstLine="560" w:firstLineChars="200"/>
        <w:jc w:val="both"/>
        <w:rPr>
          <w:rFonts w:hint="eastAsia" w:ascii="宋体" w:hAnsi="宋体"/>
          <w:sz w:val="28"/>
          <w:szCs w:val="28"/>
          <w:lang w:eastAsia="zh-CN"/>
        </w:rPr>
      </w:pPr>
      <w:r>
        <w:rPr>
          <w:rFonts w:hint="eastAsia" w:ascii="宋体" w:hAnsi="宋体"/>
          <w:sz w:val="28"/>
          <w:szCs w:val="28"/>
          <w:lang w:eastAsia="zh-CN"/>
        </w:rPr>
        <w:t>本标准属于推荐性地方标准。本标准规定了</w:t>
      </w:r>
      <w:r>
        <w:rPr>
          <w:rFonts w:hint="eastAsia" w:ascii="Times New Roman"/>
          <w:sz w:val="28"/>
          <w:szCs w:val="28"/>
          <w:lang w:eastAsia="zh-CN"/>
        </w:rPr>
        <w:t>骨质疏松高风险人群中医健康管理</w:t>
      </w:r>
      <w:r>
        <w:rPr>
          <w:rFonts w:hint="eastAsia" w:ascii="宋体" w:hAnsi="宋体"/>
          <w:sz w:val="28"/>
          <w:szCs w:val="28"/>
          <w:lang w:eastAsia="zh-CN"/>
        </w:rPr>
        <w:t>的</w:t>
      </w:r>
      <w:r>
        <w:rPr>
          <w:rFonts w:hint="eastAsia" w:ascii="Times New Roman"/>
          <w:sz w:val="28"/>
          <w:szCs w:val="28"/>
          <w:lang w:eastAsia="zh-CN"/>
        </w:rPr>
        <w:t>定义、高危因素、人群筛查、干预、随访和监测</w:t>
      </w:r>
      <w:r>
        <w:rPr>
          <w:rFonts w:hint="eastAsia" w:ascii="Times New Roman"/>
          <w:sz w:val="28"/>
          <w:szCs w:val="28"/>
          <w:lang w:val="en-US" w:eastAsia="zh-CN"/>
        </w:rPr>
        <w:t>等</w:t>
      </w:r>
      <w:r>
        <w:rPr>
          <w:rFonts w:hint="eastAsia" w:ascii="宋体" w:hAnsi="宋体"/>
          <w:sz w:val="28"/>
          <w:szCs w:val="28"/>
          <w:lang w:eastAsia="zh-CN"/>
        </w:rPr>
        <w:t>。适用于广东省内各级医疗机构提供</w:t>
      </w:r>
      <w:r>
        <w:rPr>
          <w:rFonts w:hint="eastAsia" w:ascii="Times New Roman"/>
          <w:sz w:val="28"/>
          <w:szCs w:val="28"/>
          <w:lang w:eastAsia="zh-CN"/>
        </w:rPr>
        <w:t>骨质疏松高风险人群中医健康管理</w:t>
      </w:r>
      <w:r>
        <w:rPr>
          <w:rFonts w:hint="eastAsia" w:ascii="宋体" w:hAnsi="宋体"/>
          <w:sz w:val="28"/>
          <w:szCs w:val="28"/>
          <w:lang w:eastAsia="zh-CN"/>
        </w:rPr>
        <w:t>的医护人员。文件使用者为医护人员，使用该文件干预的对象为</w:t>
      </w:r>
      <w:r>
        <w:rPr>
          <w:rFonts w:hint="eastAsia" w:ascii="宋体" w:hAnsi="宋体"/>
          <w:sz w:val="28"/>
          <w:szCs w:val="28"/>
          <w:lang w:eastAsia="zh-CN"/>
        </w:rPr>
        <w:t>骨质疏松高风险人群</w:t>
      </w:r>
      <w:r>
        <w:rPr>
          <w:rFonts w:hint="eastAsia" w:ascii="宋体" w:hAnsi="宋体"/>
          <w:sz w:val="28"/>
          <w:szCs w:val="28"/>
          <w:lang w:eastAsia="zh-CN"/>
        </w:rPr>
        <w:t>及其亲属。</w:t>
      </w:r>
    </w:p>
    <w:p w14:paraId="28276B33">
      <w:pPr>
        <w:ind w:firstLine="560" w:firstLineChars="200"/>
        <w:rPr>
          <w:rFonts w:ascii="宋体" w:hAnsi="宋体"/>
          <w:sz w:val="28"/>
          <w:szCs w:val="28"/>
        </w:rPr>
      </w:pPr>
      <w:r>
        <w:rPr>
          <w:rFonts w:hint="eastAsia" w:ascii="宋体" w:hAnsi="宋体"/>
          <w:sz w:val="28"/>
          <w:szCs w:val="28"/>
        </w:rPr>
        <w:t>本标准完成制订、批准发布后，由编制单位广东省中医院负责标准编写的技术骨干组成标准宣贯小组，在广东省中医药局、广东省中医标准化技术委员会指导下，</w:t>
      </w:r>
      <w:r>
        <w:rPr>
          <w:rFonts w:hint="eastAsia" w:ascii="宋体" w:hAnsi="宋体"/>
          <w:sz w:val="28"/>
          <w:szCs w:val="28"/>
          <w:lang w:eastAsia="zh-CN"/>
        </w:rPr>
        <w:t>通过专业技术委员会及中医药学会、中西医结合学会委员的标准化培训，</w:t>
      </w:r>
      <w:r>
        <w:rPr>
          <w:rFonts w:hint="eastAsia" w:ascii="宋体" w:hAnsi="宋体"/>
          <w:sz w:val="28"/>
          <w:szCs w:val="28"/>
        </w:rPr>
        <w:t>组织全省开展</w:t>
      </w:r>
      <w:r>
        <w:rPr>
          <w:rFonts w:hint="eastAsia" w:ascii="宋体" w:hAnsi="宋体"/>
          <w:sz w:val="28"/>
          <w:szCs w:val="28"/>
          <w:lang w:val="en-US" w:eastAsia="zh-CN"/>
        </w:rPr>
        <w:t>骨质疏松专科专病</w:t>
      </w:r>
      <w:r>
        <w:rPr>
          <w:rFonts w:hint="eastAsia" w:ascii="宋体" w:hAnsi="宋体"/>
          <w:sz w:val="28"/>
          <w:szCs w:val="28"/>
        </w:rPr>
        <w:t>门诊等医疗机构相关人员学习标准内容，</w:t>
      </w:r>
      <w:r>
        <w:rPr>
          <w:rFonts w:hint="eastAsia" w:ascii="宋体" w:hAnsi="宋体"/>
          <w:sz w:val="28"/>
          <w:szCs w:val="28"/>
          <w:lang w:eastAsia="zh-CN"/>
        </w:rPr>
        <w:t>提升其对本标准的认识和理解，促进标准的贯彻实施。</w:t>
      </w:r>
    </w:p>
    <w:p w14:paraId="3FB343A0">
      <w:pPr>
        <w:ind w:firstLine="560" w:firstLineChars="200"/>
        <w:jc w:val="both"/>
        <w:rPr>
          <w:rFonts w:hint="eastAsia" w:ascii="宋体" w:hAnsi="宋体"/>
          <w:sz w:val="28"/>
          <w:szCs w:val="28"/>
          <w:lang w:eastAsia="zh-CN"/>
        </w:rPr>
      </w:pPr>
      <w:r>
        <w:rPr>
          <w:rFonts w:hint="eastAsia" w:ascii="宋体" w:hAnsi="宋体"/>
          <w:sz w:val="28"/>
          <w:szCs w:val="28"/>
        </w:rPr>
        <w:t>标准编制小组定期与广东省中医药局、广东省中医标准化技术委员</w:t>
      </w:r>
      <w:r>
        <w:rPr>
          <w:rFonts w:hint="eastAsia" w:ascii="宋体" w:hAnsi="宋体"/>
          <w:sz w:val="28"/>
          <w:szCs w:val="28"/>
          <w:lang w:val="en-US" w:eastAsia="zh-CN"/>
        </w:rPr>
        <w:t>会</w:t>
      </w:r>
      <w:r>
        <w:rPr>
          <w:rFonts w:hint="eastAsia" w:ascii="宋体" w:hAnsi="宋体"/>
          <w:sz w:val="28"/>
          <w:szCs w:val="28"/>
        </w:rPr>
        <w:t>、各级医疗机构进行交流和征求意见，关注标准的实施效果</w:t>
      </w:r>
      <w:bookmarkStart w:id="0" w:name="_GoBack"/>
      <w:bookmarkEnd w:id="0"/>
      <w:r>
        <w:rPr>
          <w:rFonts w:hint="eastAsia" w:ascii="宋体" w:hAnsi="宋体"/>
          <w:sz w:val="28"/>
          <w:szCs w:val="28"/>
          <w:lang w:eastAsia="zh-CN"/>
        </w:rPr>
        <w:t>；建立长期有效的信息反馈平台，通过多渠道收集标准贯彻过程中的反馈信息，综合各方面信息，制定相应的标准修订计划，实现本标准的定期更新，提高本标准的适用性。</w:t>
      </w:r>
    </w:p>
    <w:p w14:paraId="60586744">
      <w:pPr>
        <w:ind w:firstLine="560" w:firstLineChars="200"/>
        <w:jc w:val="both"/>
        <w:rPr>
          <w:rFonts w:hint="eastAsia" w:ascii="宋体" w:hAnsi="宋体"/>
          <w:sz w:val="28"/>
          <w:szCs w:val="28"/>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8030705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汉仪书宋二KW"/>
    <w:panose1 w:val="03000509000000000000"/>
    <w:charset w:val="86"/>
    <w:family w:val="script"/>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冬青黑体简体中文">
    <w:panose1 w:val="020B0300000000000000"/>
    <w:charset w:val="86"/>
    <w:family w:val="auto"/>
    <w:pitch w:val="default"/>
    <w:sig w:usb0="A00002BF" w:usb1="1ACF7CFA"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D8CBA"/>
    <w:multiLevelType w:val="singleLevel"/>
    <w:tmpl w:val="D5FD8CBA"/>
    <w:lvl w:ilvl="0" w:tentative="0">
      <w:start w:val="2"/>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1AB"/>
    <w:rsid w:val="00007B38"/>
    <w:rsid w:val="000148C5"/>
    <w:rsid w:val="00021127"/>
    <w:rsid w:val="00054392"/>
    <w:rsid w:val="00074CE6"/>
    <w:rsid w:val="000A6903"/>
    <w:rsid w:val="00104D46"/>
    <w:rsid w:val="00105AD9"/>
    <w:rsid w:val="00105D4E"/>
    <w:rsid w:val="00110907"/>
    <w:rsid w:val="00120D81"/>
    <w:rsid w:val="001369CB"/>
    <w:rsid w:val="00152F5D"/>
    <w:rsid w:val="00161012"/>
    <w:rsid w:val="00197820"/>
    <w:rsid w:val="001A3B25"/>
    <w:rsid w:val="001C6F7F"/>
    <w:rsid w:val="001D4BC3"/>
    <w:rsid w:val="001E2A9D"/>
    <w:rsid w:val="001F0FD9"/>
    <w:rsid w:val="00230B2F"/>
    <w:rsid w:val="00241D2F"/>
    <w:rsid w:val="002533AA"/>
    <w:rsid w:val="002652F1"/>
    <w:rsid w:val="00276587"/>
    <w:rsid w:val="00281E1B"/>
    <w:rsid w:val="00287F52"/>
    <w:rsid w:val="00297E9F"/>
    <w:rsid w:val="002A5172"/>
    <w:rsid w:val="002B4498"/>
    <w:rsid w:val="002C531C"/>
    <w:rsid w:val="002C7B85"/>
    <w:rsid w:val="002D5483"/>
    <w:rsid w:val="002E1C16"/>
    <w:rsid w:val="00302D16"/>
    <w:rsid w:val="003111CC"/>
    <w:rsid w:val="0031238B"/>
    <w:rsid w:val="0034024C"/>
    <w:rsid w:val="00340923"/>
    <w:rsid w:val="00340E11"/>
    <w:rsid w:val="00356BCC"/>
    <w:rsid w:val="00366449"/>
    <w:rsid w:val="0039037E"/>
    <w:rsid w:val="00393F1B"/>
    <w:rsid w:val="0039614F"/>
    <w:rsid w:val="003A684B"/>
    <w:rsid w:val="003B5477"/>
    <w:rsid w:val="003D1402"/>
    <w:rsid w:val="003D22A3"/>
    <w:rsid w:val="00410100"/>
    <w:rsid w:val="00420B3F"/>
    <w:rsid w:val="004258BD"/>
    <w:rsid w:val="00436A3F"/>
    <w:rsid w:val="00456299"/>
    <w:rsid w:val="004634E7"/>
    <w:rsid w:val="00465468"/>
    <w:rsid w:val="004655B8"/>
    <w:rsid w:val="004677E2"/>
    <w:rsid w:val="004815FD"/>
    <w:rsid w:val="00541E29"/>
    <w:rsid w:val="00552572"/>
    <w:rsid w:val="00572FB4"/>
    <w:rsid w:val="005964AA"/>
    <w:rsid w:val="00603705"/>
    <w:rsid w:val="006261E3"/>
    <w:rsid w:val="00637384"/>
    <w:rsid w:val="00677AB4"/>
    <w:rsid w:val="00692972"/>
    <w:rsid w:val="006F35F8"/>
    <w:rsid w:val="00717F65"/>
    <w:rsid w:val="0073104E"/>
    <w:rsid w:val="00731682"/>
    <w:rsid w:val="007657F5"/>
    <w:rsid w:val="00772E4B"/>
    <w:rsid w:val="007B671B"/>
    <w:rsid w:val="007D4EB8"/>
    <w:rsid w:val="008060DA"/>
    <w:rsid w:val="0083555E"/>
    <w:rsid w:val="00844BEC"/>
    <w:rsid w:val="0084631B"/>
    <w:rsid w:val="00870B16"/>
    <w:rsid w:val="008738DE"/>
    <w:rsid w:val="008847D6"/>
    <w:rsid w:val="008940C8"/>
    <w:rsid w:val="008A27C7"/>
    <w:rsid w:val="008C465F"/>
    <w:rsid w:val="008D40BC"/>
    <w:rsid w:val="009042CE"/>
    <w:rsid w:val="00942FEA"/>
    <w:rsid w:val="00986C06"/>
    <w:rsid w:val="009A181C"/>
    <w:rsid w:val="009B1A86"/>
    <w:rsid w:val="009B49BC"/>
    <w:rsid w:val="009B7179"/>
    <w:rsid w:val="00A011D6"/>
    <w:rsid w:val="00A23320"/>
    <w:rsid w:val="00A75E02"/>
    <w:rsid w:val="00A86ABE"/>
    <w:rsid w:val="00A9237D"/>
    <w:rsid w:val="00AA0E67"/>
    <w:rsid w:val="00AC36C0"/>
    <w:rsid w:val="00B0568A"/>
    <w:rsid w:val="00B26210"/>
    <w:rsid w:val="00B538B6"/>
    <w:rsid w:val="00B708A6"/>
    <w:rsid w:val="00B731AB"/>
    <w:rsid w:val="00BA1F6A"/>
    <w:rsid w:val="00BA647F"/>
    <w:rsid w:val="00BC136A"/>
    <w:rsid w:val="00BC29DC"/>
    <w:rsid w:val="00BD5AF7"/>
    <w:rsid w:val="00C06D38"/>
    <w:rsid w:val="00C701E5"/>
    <w:rsid w:val="00C8528B"/>
    <w:rsid w:val="00CB2C0D"/>
    <w:rsid w:val="00CC77DC"/>
    <w:rsid w:val="00CE22D1"/>
    <w:rsid w:val="00CE4376"/>
    <w:rsid w:val="00D126E7"/>
    <w:rsid w:val="00D359E4"/>
    <w:rsid w:val="00D55423"/>
    <w:rsid w:val="00D74042"/>
    <w:rsid w:val="00D912E4"/>
    <w:rsid w:val="00DA2E18"/>
    <w:rsid w:val="00DE66F4"/>
    <w:rsid w:val="00DE7259"/>
    <w:rsid w:val="00E01923"/>
    <w:rsid w:val="00E055F8"/>
    <w:rsid w:val="00E85837"/>
    <w:rsid w:val="00E85AF7"/>
    <w:rsid w:val="00EA5130"/>
    <w:rsid w:val="00EC0803"/>
    <w:rsid w:val="00EC3931"/>
    <w:rsid w:val="00EE0D2B"/>
    <w:rsid w:val="00F20ACF"/>
    <w:rsid w:val="00F24D51"/>
    <w:rsid w:val="00F32413"/>
    <w:rsid w:val="00F41A56"/>
    <w:rsid w:val="00F51063"/>
    <w:rsid w:val="00F61CEB"/>
    <w:rsid w:val="00F627B9"/>
    <w:rsid w:val="00F91889"/>
    <w:rsid w:val="00FA7F55"/>
    <w:rsid w:val="00FB19D5"/>
    <w:rsid w:val="0CB23961"/>
    <w:rsid w:val="0CDB347F"/>
    <w:rsid w:val="0FAFD363"/>
    <w:rsid w:val="12BB3B36"/>
    <w:rsid w:val="137FEE2A"/>
    <w:rsid w:val="15BA4143"/>
    <w:rsid w:val="184D185B"/>
    <w:rsid w:val="18BF2661"/>
    <w:rsid w:val="1FFF5BBE"/>
    <w:rsid w:val="2A7B559E"/>
    <w:rsid w:val="2BF817DB"/>
    <w:rsid w:val="2F1E1DB8"/>
    <w:rsid w:val="31BC257A"/>
    <w:rsid w:val="342101A7"/>
    <w:rsid w:val="37F94B7D"/>
    <w:rsid w:val="3AFD74C5"/>
    <w:rsid w:val="3BDFA4B3"/>
    <w:rsid w:val="3BFD503A"/>
    <w:rsid w:val="447F4114"/>
    <w:rsid w:val="4FF7DF19"/>
    <w:rsid w:val="52092E71"/>
    <w:rsid w:val="568DB33C"/>
    <w:rsid w:val="578515EA"/>
    <w:rsid w:val="593F97F3"/>
    <w:rsid w:val="59BF5419"/>
    <w:rsid w:val="5A4D2307"/>
    <w:rsid w:val="5DE32ECF"/>
    <w:rsid w:val="5FDCEA92"/>
    <w:rsid w:val="65EFD974"/>
    <w:rsid w:val="6E7EF466"/>
    <w:rsid w:val="6FFF5A0C"/>
    <w:rsid w:val="716142DB"/>
    <w:rsid w:val="73BDFDDB"/>
    <w:rsid w:val="7C4652D2"/>
    <w:rsid w:val="7CA62FC1"/>
    <w:rsid w:val="7EFDAC32"/>
    <w:rsid w:val="7EFE2D65"/>
    <w:rsid w:val="7FBF3342"/>
    <w:rsid w:val="7FEE6D89"/>
    <w:rsid w:val="7FF68C9A"/>
    <w:rsid w:val="7FF6B2DF"/>
    <w:rsid w:val="9DD7D665"/>
    <w:rsid w:val="9DFC4307"/>
    <w:rsid w:val="A747B118"/>
    <w:rsid w:val="AFEE29D2"/>
    <w:rsid w:val="AFF75CAA"/>
    <w:rsid w:val="B7F89825"/>
    <w:rsid w:val="BB879224"/>
    <w:rsid w:val="BBEFD434"/>
    <w:rsid w:val="BF39009E"/>
    <w:rsid w:val="D8FBCAF8"/>
    <w:rsid w:val="DC59AA6B"/>
    <w:rsid w:val="DD2F4633"/>
    <w:rsid w:val="DDDC938F"/>
    <w:rsid w:val="DDFC1CBD"/>
    <w:rsid w:val="DED68D84"/>
    <w:rsid w:val="DFF33DF2"/>
    <w:rsid w:val="E2E56D21"/>
    <w:rsid w:val="E91C9F2F"/>
    <w:rsid w:val="EBEB4DA2"/>
    <w:rsid w:val="F5FF9E7A"/>
    <w:rsid w:val="F96763CF"/>
    <w:rsid w:val="FAFAACFF"/>
    <w:rsid w:val="FBBA4ABC"/>
    <w:rsid w:val="FBCB1D35"/>
    <w:rsid w:val="FD5746FE"/>
    <w:rsid w:val="FEEFF227"/>
    <w:rsid w:val="FEFD5524"/>
    <w:rsid w:val="FF6E6FE8"/>
    <w:rsid w:val="FFBDDC09"/>
    <w:rsid w:val="FFBE3F3C"/>
    <w:rsid w:val="FFF701D3"/>
    <w:rsid w:val="FFFBA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qFormat/>
    <w:uiPriority w:val="99"/>
    <w:rPr>
      <w:rFonts w:ascii="宋体" w:hAnsi="Times New Roman" w:eastAsia="宋体"/>
      <w:color w:val="auto"/>
      <w:spacing w:val="0"/>
      <w:w w:val="100"/>
      <w:position w:val="0"/>
      <w:sz w:val="21"/>
      <w:u w:val="none"/>
      <w:vertAlign w:val="baseline"/>
    </w:rPr>
  </w:style>
  <w:style w:type="character" w:customStyle="1" w:styleId="10">
    <w:name w:val="页脚 字符"/>
    <w:link w:val="3"/>
    <w:qFormat/>
    <w:uiPriority w:val="0"/>
    <w:rPr>
      <w:kern w:val="2"/>
      <w:sz w:val="18"/>
      <w:szCs w:val="18"/>
    </w:rPr>
  </w:style>
  <w:style w:type="character" w:customStyle="1" w:styleId="11">
    <w:name w:val="页眉 字符"/>
    <w:link w:val="4"/>
    <w:qFormat/>
    <w:uiPriority w:val="0"/>
    <w:rPr>
      <w:kern w:val="2"/>
      <w:sz w:val="18"/>
      <w:szCs w:val="18"/>
    </w:rPr>
  </w:style>
  <w:style w:type="character" w:customStyle="1" w:styleId="12">
    <w:name w:val="批注框文本 字符"/>
    <w:link w:val="2"/>
    <w:qFormat/>
    <w:uiPriority w:val="0"/>
    <w:rPr>
      <w:kern w:val="2"/>
      <w:sz w:val="18"/>
      <w:szCs w:val="18"/>
    </w:rPr>
  </w:style>
  <w:style w:type="paragraph" w:customStyle="1" w:styleId="13">
    <w:name w:val="标准文件_二级条标题"/>
    <w:next w:val="14"/>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标准文件_二级无标题"/>
    <w:basedOn w:val="13"/>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552</Words>
  <Characters>556</Characters>
  <Lines>4</Lines>
  <Paragraphs>1</Paragraphs>
  <TotalTime>5</TotalTime>
  <ScaleCrop>false</ScaleCrop>
  <LinksUpToDate>false</LinksUpToDate>
  <CharactersWithSpaces>557</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2023-06-20T20:25:00Z</dcterms:created>
  <dc:creator>Administrator</dc:creator>
  <cp:lastModifiedBy>Ling feng Zeng</cp:lastModifiedBy>
  <cp:lastPrinted>2022-01-25T17:41:00Z</cp:lastPrinted>
  <dcterms:modified xsi:type="dcterms:W3CDTF">2025-03-26T12:23:21Z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3D0483B5F97B4E3E893CC8DD0F157685</vt:lpwstr>
  </property>
</Properties>
</file>